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F8F" w:rsidRPr="00EB0F8F" w:rsidRDefault="00EB0F8F" w:rsidP="00EB0F8F">
      <w:pPr>
        <w:spacing w:before="100" w:beforeAutospacing="1" w:after="100" w:afterAutospacing="1" w:line="240" w:lineRule="exact"/>
        <w:jc w:val="center"/>
        <w:rPr>
          <w:rFonts w:ascii="Times New Roman" w:eastAsia="Times New Roman" w:hAnsi="Times New Roman" w:cs="Times New Roman"/>
          <w:b/>
          <w:sz w:val="24"/>
          <w:szCs w:val="24"/>
          <w:lang w:eastAsia="tr-TR"/>
        </w:rPr>
      </w:pPr>
      <w:r w:rsidRPr="00EB0F8F">
        <w:rPr>
          <w:rFonts w:ascii="Times New Roman" w:eastAsia="Times New Roman" w:hAnsi="Times New Roman" w:cs="Times New Roman"/>
          <w:b/>
          <w:sz w:val="24"/>
          <w:szCs w:val="24"/>
          <w:lang w:eastAsia="tr-TR"/>
        </w:rPr>
        <w:t>ÇALIŞANLARIN GÜRÜLTÜ İLE İLGİLİ RİSKLERDEN</w:t>
      </w:r>
      <w:bookmarkStart w:id="0" w:name="_GoBack"/>
      <w:bookmarkEnd w:id="0"/>
    </w:p>
    <w:p w:rsidR="00EB0F8F" w:rsidRPr="00EB0F8F" w:rsidRDefault="00EB0F8F" w:rsidP="00EB0F8F">
      <w:pPr>
        <w:spacing w:before="100" w:beforeAutospacing="1" w:after="100" w:afterAutospacing="1" w:line="240" w:lineRule="exact"/>
        <w:jc w:val="center"/>
        <w:rPr>
          <w:rFonts w:ascii="Times New Roman" w:eastAsia="Times New Roman" w:hAnsi="Times New Roman" w:cs="Times New Roman"/>
          <w:b/>
          <w:sz w:val="24"/>
          <w:szCs w:val="24"/>
          <w:lang w:eastAsia="tr-TR"/>
        </w:rPr>
      </w:pPr>
      <w:r w:rsidRPr="00EB0F8F">
        <w:rPr>
          <w:rFonts w:ascii="Times New Roman" w:eastAsia="Times New Roman" w:hAnsi="Times New Roman" w:cs="Times New Roman"/>
          <w:b/>
          <w:sz w:val="24"/>
          <w:szCs w:val="24"/>
          <w:lang w:eastAsia="tr-TR"/>
        </w:rPr>
        <w:t>KORUNMALARINA DAİR YÖNETMELİK</w:t>
      </w:r>
    </w:p>
    <w:p w:rsidR="00EB0F8F" w:rsidRPr="00EB0F8F" w:rsidRDefault="00EB0F8F" w:rsidP="00EB0F8F">
      <w:pPr>
        <w:spacing w:after="0" w:line="240" w:lineRule="auto"/>
        <w:jc w:val="center"/>
        <w:rPr>
          <w:rFonts w:ascii="Times New Roman" w:eastAsia="Times New Roman" w:hAnsi="Times New Roman" w:cs="Times New Roman"/>
          <w:b/>
          <w:sz w:val="24"/>
          <w:szCs w:val="24"/>
          <w:lang w:eastAsia="tr-TR"/>
        </w:rPr>
      </w:pPr>
      <w:r w:rsidRPr="00EB0F8F">
        <w:rPr>
          <w:rFonts w:ascii="Times New Roman" w:eastAsia="Times New Roman" w:hAnsi="Times New Roman" w:cs="Times New Roman"/>
          <w:b/>
          <w:sz w:val="24"/>
          <w:szCs w:val="24"/>
          <w:lang w:eastAsia="tr-TR"/>
        </w:rPr>
        <w:t>Yayımlandığı Resmi Gazete Tarihi/Sayısı:28.07.2013/28721</w:t>
      </w:r>
      <w:r w:rsidR="008D0CD0" w:rsidRPr="00EB0F8F">
        <w:rPr>
          <w:rFonts w:ascii="Times New Roman" w:eastAsia="Times New Roman" w:hAnsi="Times New Roman" w:cs="Times New Roman"/>
          <w:b/>
          <w:sz w:val="24"/>
          <w:szCs w:val="24"/>
          <w:lang w:eastAsia="tr-TR"/>
        </w:rPr>
        <w:t xml:space="preserve"> </w:t>
      </w:r>
    </w:p>
    <w:p w:rsidR="00EB0F8F" w:rsidRPr="00EB0F8F" w:rsidRDefault="00EB0F8F" w:rsidP="00EB0F8F">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BİRİNCİ BÖLÜM</w:t>
      </w:r>
    </w:p>
    <w:p w:rsidR="00EB0F8F" w:rsidRPr="00EB0F8F" w:rsidRDefault="00EB0F8F" w:rsidP="00EB0F8F">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Amaç, Kapsam, Dayanak ve Tanımlar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b/>
          <w:sz w:val="24"/>
          <w:szCs w:val="24"/>
          <w:lang w:eastAsia="tr-TR"/>
        </w:rPr>
        <w:t>Amaç</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b/>
          <w:sz w:val="24"/>
          <w:szCs w:val="24"/>
          <w:lang w:eastAsia="tr-TR"/>
        </w:rPr>
        <w:t xml:space="preserve">MADDE 1 – </w:t>
      </w:r>
      <w:r w:rsidRPr="00EB0F8F">
        <w:rPr>
          <w:rFonts w:ascii="Times New Roman" w:eastAsia="Times New Roman" w:hAnsi="Times New Roman" w:cs="Times New Roman"/>
          <w:sz w:val="24"/>
          <w:szCs w:val="24"/>
          <w:lang w:eastAsia="tr-TR"/>
        </w:rPr>
        <w:t>(1) Bu Yönetmeliğin amacı, çalışanların gürültüye maruz kalmaları sonucu oluşabilecek sağlık ve güvenlik risklerinden, özellikle işitme ile ilgili risklerden korunmaları için asgari gereklilikleri belirlemektir.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b/>
          <w:sz w:val="24"/>
          <w:szCs w:val="24"/>
          <w:lang w:eastAsia="tr-TR"/>
        </w:rPr>
        <w:t>Kapsam</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b/>
          <w:sz w:val="24"/>
          <w:szCs w:val="24"/>
          <w:lang w:eastAsia="tr-TR"/>
        </w:rPr>
        <w:t>MADDE 2 –</w:t>
      </w:r>
      <w:r w:rsidRPr="00EB0F8F">
        <w:rPr>
          <w:rFonts w:ascii="Times New Roman" w:eastAsia="Times New Roman" w:hAnsi="Times New Roman" w:cs="Times New Roman"/>
          <w:sz w:val="24"/>
          <w:szCs w:val="24"/>
          <w:lang w:eastAsia="tr-TR"/>
        </w:rPr>
        <w:t xml:space="preserve"> (1) Bu Yönetmelik, 20/6/2012 tarihli ve 6331 sayılı İş Sağlığı ve Güvenliği Kanunu kapsamındaki işyerlerinde uygulanır.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b/>
          <w:sz w:val="24"/>
          <w:szCs w:val="24"/>
          <w:lang w:eastAsia="tr-TR"/>
        </w:rPr>
        <w:t>Dayanak</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b/>
          <w:sz w:val="24"/>
          <w:szCs w:val="24"/>
          <w:lang w:eastAsia="tr-TR"/>
        </w:rPr>
        <w:t xml:space="preserve">MADDE 3 – </w:t>
      </w:r>
      <w:r w:rsidRPr="00EB0F8F">
        <w:rPr>
          <w:rFonts w:ascii="Times New Roman" w:eastAsia="Times New Roman" w:hAnsi="Times New Roman" w:cs="Times New Roman"/>
          <w:sz w:val="24"/>
          <w:szCs w:val="24"/>
          <w:lang w:eastAsia="tr-TR"/>
        </w:rPr>
        <w:t>(1) Bu Yönetmelik, 6331 sayılı Kanunun 30 uncu maddesine ve 9/1/1985 tarihli ve 3146 sayılı Çalışma ve Sosyal Güvenlik Bakanlığının Teşkilat ve Görevleri Hakkında Kanuna dayanılarak ve 6/2/2003 tarihli ve 2003/10/EC sayılı Avrupa Parlamentosu ve Konseyi Direktifine paralel olarak hazırlanmıştır.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b/>
          <w:sz w:val="24"/>
          <w:szCs w:val="24"/>
          <w:lang w:eastAsia="tr-TR"/>
        </w:rPr>
        <w:t>Tanımlar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b/>
          <w:sz w:val="24"/>
          <w:szCs w:val="24"/>
          <w:lang w:eastAsia="tr-TR"/>
        </w:rPr>
        <w:t>MADDE 4 –</w:t>
      </w:r>
      <w:r w:rsidRPr="00EB0F8F">
        <w:rPr>
          <w:rFonts w:ascii="Times New Roman" w:eastAsia="Times New Roman" w:hAnsi="Times New Roman" w:cs="Times New Roman"/>
          <w:sz w:val="24"/>
          <w:szCs w:val="24"/>
          <w:lang w:eastAsia="tr-TR"/>
        </w:rPr>
        <w:t xml:space="preserve"> (1) Bu Yönetmelikte geçen;</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a) En yüksek ses basıncı (P</w:t>
      </w:r>
      <w:r w:rsidRPr="00EB0F8F">
        <w:rPr>
          <w:rFonts w:ascii="Times New Roman" w:eastAsia="Times New Roman" w:hAnsi="Times New Roman" w:cs="Times New Roman"/>
          <w:sz w:val="24"/>
          <w:szCs w:val="24"/>
          <w:vertAlign w:val="subscript"/>
          <w:lang w:eastAsia="tr-TR"/>
        </w:rPr>
        <w:t>tepe</w:t>
      </w:r>
      <w:r w:rsidRPr="00EB0F8F">
        <w:rPr>
          <w:rFonts w:ascii="Times New Roman" w:eastAsia="Times New Roman" w:hAnsi="Times New Roman" w:cs="Times New Roman"/>
          <w:sz w:val="24"/>
          <w:szCs w:val="24"/>
          <w:lang w:eastAsia="tr-TR"/>
        </w:rPr>
        <w:t>): C-frekans ağırlıklı anlık gürültü basıncının tepe değerini,</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b) Günlük gürültü maruziyet düzeyi (L</w:t>
      </w:r>
      <w:r w:rsidRPr="00EB0F8F">
        <w:rPr>
          <w:rFonts w:ascii="Times New Roman" w:eastAsia="Times New Roman" w:hAnsi="Times New Roman" w:cs="Times New Roman"/>
          <w:sz w:val="24"/>
          <w:szCs w:val="24"/>
          <w:vertAlign w:val="subscript"/>
          <w:lang w:eastAsia="tr-TR"/>
        </w:rPr>
        <w:t>EX, 8saat</w:t>
      </w:r>
      <w:r w:rsidRPr="00EB0F8F">
        <w:rPr>
          <w:rFonts w:ascii="Times New Roman" w:eastAsia="Times New Roman" w:hAnsi="Times New Roman" w:cs="Times New Roman"/>
          <w:sz w:val="24"/>
          <w:szCs w:val="24"/>
          <w:lang w:eastAsia="tr-TR"/>
        </w:rPr>
        <w:t>) [dB(A) re. 20 µPa]: TS 2607 ISO 1999 standardında tanımlandığı gibi en yüksek ses basıncının ve anlık darbeli gürültünün de dahil olduğu A-ağırlıklı bütün gürültü maruziyet düzeylerinin, sekiz saatlik bir iş günü için zaman ağırlıklı ortalamasını,</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c) Haftalık gürültü maruziyet düzeyi (L</w:t>
      </w:r>
      <w:r w:rsidRPr="00EB0F8F">
        <w:rPr>
          <w:rFonts w:ascii="Times New Roman" w:eastAsia="Times New Roman" w:hAnsi="Times New Roman" w:cs="Times New Roman"/>
          <w:sz w:val="24"/>
          <w:szCs w:val="24"/>
          <w:vertAlign w:val="subscript"/>
          <w:lang w:eastAsia="tr-TR"/>
        </w:rPr>
        <w:t>EX, 8saat</w:t>
      </w:r>
      <w:r w:rsidRPr="00EB0F8F">
        <w:rPr>
          <w:rFonts w:ascii="Times New Roman" w:eastAsia="Times New Roman" w:hAnsi="Times New Roman" w:cs="Times New Roman"/>
          <w:sz w:val="24"/>
          <w:szCs w:val="24"/>
          <w:lang w:eastAsia="tr-TR"/>
        </w:rPr>
        <w:t>): TS 2607 ISO 1999 standardında tanımlandığı gibi A-ağırlıklı günlük gürültü maruziyet düzeylerinin, sekiz saatlik beş iş gününden oluşan bir hafta için zaman ağırlıklı ortalamasını,</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d) Kanun: 6331 sayılı İş Sağlığı ve Güvenliği Kanununu,</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ifade eder.</w:t>
      </w:r>
    </w:p>
    <w:p w:rsidR="00EB0F8F" w:rsidRPr="00EB0F8F" w:rsidRDefault="00EB0F8F" w:rsidP="00EB0F8F">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İKİNCİ BÖLÜM</w:t>
      </w:r>
    </w:p>
    <w:p w:rsidR="00EB0F8F" w:rsidRPr="00EB0F8F" w:rsidRDefault="00EB0F8F" w:rsidP="00EB0F8F">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Maruziyet Değerleri ve İşverenlerin Yükümlülükleri</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b/>
          <w:sz w:val="24"/>
          <w:szCs w:val="24"/>
          <w:lang w:eastAsia="tr-TR"/>
        </w:rPr>
        <w:t>Maruziyet eylem değerleri ve maruziyet sınır değerleri</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b/>
          <w:sz w:val="24"/>
          <w:szCs w:val="24"/>
          <w:lang w:eastAsia="tr-TR"/>
        </w:rPr>
        <w:t>MADDE 5 –</w:t>
      </w:r>
      <w:r w:rsidRPr="00EB0F8F">
        <w:rPr>
          <w:rFonts w:ascii="Times New Roman" w:eastAsia="Times New Roman" w:hAnsi="Times New Roman" w:cs="Times New Roman"/>
          <w:sz w:val="24"/>
          <w:szCs w:val="24"/>
          <w:lang w:eastAsia="tr-TR"/>
        </w:rPr>
        <w:t xml:space="preserve"> (1) Bu Yönetmeliğin uygulanması bakımından, maruziyet eylem değerleri ve maruziyet sınır değerleri aşağıda verilmiştir: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a) En düşük maruziyet eylem değerleri: (L</w:t>
      </w:r>
      <w:r w:rsidRPr="00EB0F8F">
        <w:rPr>
          <w:rFonts w:ascii="Times New Roman" w:eastAsia="Times New Roman" w:hAnsi="Times New Roman" w:cs="Times New Roman"/>
          <w:sz w:val="24"/>
          <w:szCs w:val="24"/>
          <w:vertAlign w:val="subscript"/>
          <w:lang w:eastAsia="tr-TR"/>
        </w:rPr>
        <w:t>EX, 8saat</w:t>
      </w:r>
      <w:r w:rsidRPr="00EB0F8F">
        <w:rPr>
          <w:rFonts w:ascii="Times New Roman" w:eastAsia="Times New Roman" w:hAnsi="Times New Roman" w:cs="Times New Roman"/>
          <w:sz w:val="24"/>
          <w:szCs w:val="24"/>
          <w:lang w:eastAsia="tr-TR"/>
        </w:rPr>
        <w:t>) = 80 dB(A) veya (P</w:t>
      </w:r>
      <w:r w:rsidRPr="00EB0F8F">
        <w:rPr>
          <w:rFonts w:ascii="Times New Roman" w:eastAsia="Times New Roman" w:hAnsi="Times New Roman" w:cs="Times New Roman"/>
          <w:sz w:val="24"/>
          <w:szCs w:val="24"/>
          <w:vertAlign w:val="subscript"/>
          <w:lang w:eastAsia="tr-TR"/>
        </w:rPr>
        <w:t>tepe</w:t>
      </w:r>
      <w:r w:rsidRPr="00EB0F8F">
        <w:rPr>
          <w:rFonts w:ascii="Times New Roman" w:eastAsia="Times New Roman" w:hAnsi="Times New Roman" w:cs="Times New Roman"/>
          <w:sz w:val="24"/>
          <w:szCs w:val="24"/>
          <w:lang w:eastAsia="tr-TR"/>
        </w:rPr>
        <w:t>) = 112 Pa [135 dB(C) re. 20 µPa] (20 µPa referans alındığında 135 dB (C) olarak hesaplanan değer).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lastRenderedPageBreak/>
        <w:t>b) En yüksek maruziyet eylem değerleri: (L</w:t>
      </w:r>
      <w:r w:rsidRPr="00EB0F8F">
        <w:rPr>
          <w:rFonts w:ascii="Times New Roman" w:eastAsia="Times New Roman" w:hAnsi="Times New Roman" w:cs="Times New Roman"/>
          <w:sz w:val="24"/>
          <w:szCs w:val="24"/>
          <w:vertAlign w:val="subscript"/>
          <w:lang w:eastAsia="tr-TR"/>
        </w:rPr>
        <w:t>EX, 8saat</w:t>
      </w:r>
      <w:r w:rsidRPr="00EB0F8F">
        <w:rPr>
          <w:rFonts w:ascii="Times New Roman" w:eastAsia="Times New Roman" w:hAnsi="Times New Roman" w:cs="Times New Roman"/>
          <w:sz w:val="24"/>
          <w:szCs w:val="24"/>
          <w:lang w:eastAsia="tr-TR"/>
        </w:rPr>
        <w:t>) = 85 dB(A) veya (P</w:t>
      </w:r>
      <w:r w:rsidRPr="00EB0F8F">
        <w:rPr>
          <w:rFonts w:ascii="Times New Roman" w:eastAsia="Times New Roman" w:hAnsi="Times New Roman" w:cs="Times New Roman"/>
          <w:sz w:val="24"/>
          <w:szCs w:val="24"/>
          <w:vertAlign w:val="subscript"/>
          <w:lang w:eastAsia="tr-TR"/>
        </w:rPr>
        <w:t>tepe</w:t>
      </w:r>
      <w:r w:rsidRPr="00EB0F8F">
        <w:rPr>
          <w:rFonts w:ascii="Times New Roman" w:eastAsia="Times New Roman" w:hAnsi="Times New Roman" w:cs="Times New Roman"/>
          <w:sz w:val="24"/>
          <w:szCs w:val="24"/>
          <w:lang w:eastAsia="tr-TR"/>
        </w:rPr>
        <w:t>) = 140 Pa [137 dB(C) re. 20 µPa].</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c) Maruziyet sınır değerleri: (L</w:t>
      </w:r>
      <w:r w:rsidRPr="00EB0F8F">
        <w:rPr>
          <w:rFonts w:ascii="Times New Roman" w:eastAsia="Times New Roman" w:hAnsi="Times New Roman" w:cs="Times New Roman"/>
          <w:sz w:val="24"/>
          <w:szCs w:val="24"/>
          <w:vertAlign w:val="subscript"/>
          <w:lang w:eastAsia="tr-TR"/>
        </w:rPr>
        <w:t>EX, 8saat</w:t>
      </w:r>
      <w:r w:rsidRPr="00EB0F8F">
        <w:rPr>
          <w:rFonts w:ascii="Times New Roman" w:eastAsia="Times New Roman" w:hAnsi="Times New Roman" w:cs="Times New Roman"/>
          <w:sz w:val="24"/>
          <w:szCs w:val="24"/>
          <w:lang w:eastAsia="tr-TR"/>
        </w:rPr>
        <w:t>) = 87 dB(A) veya (P</w:t>
      </w:r>
      <w:r w:rsidRPr="00EB0F8F">
        <w:rPr>
          <w:rFonts w:ascii="Times New Roman" w:eastAsia="Times New Roman" w:hAnsi="Times New Roman" w:cs="Times New Roman"/>
          <w:sz w:val="24"/>
          <w:szCs w:val="24"/>
          <w:vertAlign w:val="subscript"/>
          <w:lang w:eastAsia="tr-TR"/>
        </w:rPr>
        <w:t>tepe</w:t>
      </w:r>
      <w:r w:rsidRPr="00EB0F8F">
        <w:rPr>
          <w:rFonts w:ascii="Times New Roman" w:eastAsia="Times New Roman" w:hAnsi="Times New Roman" w:cs="Times New Roman"/>
          <w:sz w:val="24"/>
          <w:szCs w:val="24"/>
          <w:lang w:eastAsia="tr-TR"/>
        </w:rPr>
        <w:t>) = 200 Pa [140 dB(C) re. 20 µPa].</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(2) Maruziyet sınır değerleri uygulanırken, çalışanların maruziyetinin tespitinde, çalışanın kullandığı kişisel kulak koruyucu donanımların koruyucu etkisi de dikkate alınır.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(3) Maruziyet eylem değerlerinde kulak koruyucularının etkisi dikkate alınmaz.</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(4) Günlük gürültü maruziyetinin günden güne belirgin şekilde farklılık gösterdiğinin kesin olarak tespit edildiği işlerde, maruziyet sınır değerleri ile maruziyet eylem değerlerinin uygulanmasında günlük gürültü maruziyet düzeyi yerine, haftalık gürültü maruziyet düzeyi kullanılabilir. Bu işlerde;</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a) Yeterli ölçümle tespit edilen haftalık gürültü maruziyet düzeyi, 87 dB(A) maruziyet sınır değerini aşamaz.</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b) Bu işlerle ilgili risklerin en aza indirilmesi için uygun tedbirler alınır.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b/>
          <w:sz w:val="24"/>
          <w:szCs w:val="24"/>
          <w:lang w:eastAsia="tr-TR"/>
        </w:rPr>
        <w:t>Maruziyetin belirlenmesi</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b/>
          <w:sz w:val="24"/>
          <w:szCs w:val="24"/>
          <w:lang w:eastAsia="tr-TR"/>
        </w:rPr>
        <w:t>MADDE 6 –</w:t>
      </w:r>
      <w:r w:rsidRPr="00EB0F8F">
        <w:rPr>
          <w:rFonts w:ascii="Times New Roman" w:eastAsia="Times New Roman" w:hAnsi="Times New Roman" w:cs="Times New Roman"/>
          <w:sz w:val="24"/>
          <w:szCs w:val="24"/>
          <w:lang w:eastAsia="tr-TR"/>
        </w:rPr>
        <w:t xml:space="preserve"> (1) İşveren, çalışanların maruz kaldığı gürültü düzeyini, işyerinde gerçekleştirilen risk değerlendirmesinde ele alır ve risk değerlendirmesi sonuçlarına göre gereken durumlarda gürültü ölçümleri yaptırarak maruziyeti belirler.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(2) Gürültü ölçümünde kullanılacak yöntem ve cihazlar;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a) Özellikle ölçülecek olan gürültünün niteliği, maruziyet süresi, çevresel faktörler ve ölçüm cihazının nitelikleri dikkate alınarak mevcut şartlara uygun olur.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b) Gürültü maruziyet düzeyi ve ses basıncı gibi parametrelerin tespit edilebilmesi ile 5 inci maddede belirtilen maruziyet sınır değerleri ve maruziyet eylem değerlerinin aşılıp aşılmadığına karar verilebilmesine imkan sağlar.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c) Çalışanın kişisel maruziyetini gösterir.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(3) Değerlendirme ve ölçüm sonuçları, gerektiğinde kullanılmak ve iş müfettişlerinin denetimlerinde istenildiğinde gösterilmek üzere uygun bir şekilde saklanır.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b/>
          <w:sz w:val="24"/>
          <w:szCs w:val="24"/>
          <w:lang w:eastAsia="tr-TR"/>
        </w:rPr>
        <w:t>Risklerin değerlendirilmesi</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b/>
          <w:sz w:val="24"/>
          <w:szCs w:val="24"/>
          <w:lang w:eastAsia="tr-TR"/>
        </w:rPr>
        <w:t xml:space="preserve">MADDE 7 – </w:t>
      </w:r>
      <w:r w:rsidRPr="00EB0F8F">
        <w:rPr>
          <w:rFonts w:ascii="Times New Roman" w:eastAsia="Times New Roman" w:hAnsi="Times New Roman" w:cs="Times New Roman"/>
          <w:sz w:val="24"/>
          <w:szCs w:val="24"/>
          <w:lang w:eastAsia="tr-TR"/>
        </w:rPr>
        <w:t>(1) İşveren; 29/12/2012 tarihli ve 28512 sayılı Resmî Gazete’de yayımlanan İş Sağlığı ve Güvenliği Risk Değerlendirmesi Yönetmeliği uyarınca işyerinde gerçekleştirilen risk değerlendirmesinde, gürültüden kaynaklanabilecek riskleri değerlendirirken;</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a) Anlık darbeli gürültüye maruziyetdahilmaruziyetin türü, düzeyi ve süresine,</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b) Maruziyet sınır değerleri ile maruziyet eylem değerlerine,</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c) Başta özel politika gerektiren gruplar ile kadın çalışanlar olmak üzere tüm çalışanların sağlık ve güvenliklerine olan etkilerine,</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ç) Teknik olarak elde edilebildiği durumlarda, işle ilgili ototoksik maddeler ile gürültü arasındaki ve titreşim ile gürültü arasındaki etkileşimlerin, çalışanların sağlık ve güvenliğine olan etkisine,</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d) Kaza riskini azaltmak için kullanılan ve çalışanlar tarafından algılanması gereken uyarı sinyalleri ve diğer seslerin gürültü ile etkileşiminin, çalışanların sağlık ve güvenliğine olan dolaylı etkisine,</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lastRenderedPageBreak/>
        <w:t>e) İş ekipmanlarının gürültü emisyonu hakkında, ilgili mevzuat uyarınca imalatçılardan sağlanan bilgilerine,</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f) Gürültü emisyonunu azaltan alternatif bir iş ekipmanının bulunup bulunmadığına,</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g) Gürültüye maruziyetin, işverenin sorumluluğundaki normal çalışma saatleri dışında da devam edip etmediğine,</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ğ) Sağlık gözetiminde elde edinilen güncel bilgilere,</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h) Yeterli korumayı sağlayabilecek kulak koruyucularının bulunup bulunmadığına,</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özel önem verir.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b/>
          <w:sz w:val="24"/>
          <w:szCs w:val="24"/>
          <w:lang w:eastAsia="tr-TR"/>
        </w:rPr>
        <w:t>Maruziyetin önlenmesi ve azaltılması</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b/>
          <w:sz w:val="24"/>
          <w:szCs w:val="24"/>
          <w:lang w:eastAsia="tr-TR"/>
        </w:rPr>
        <w:t>MADDE 8 –</w:t>
      </w:r>
      <w:r w:rsidRPr="00EB0F8F">
        <w:rPr>
          <w:rFonts w:ascii="Times New Roman" w:eastAsia="Times New Roman" w:hAnsi="Times New Roman" w:cs="Times New Roman"/>
          <w:sz w:val="24"/>
          <w:szCs w:val="24"/>
          <w:lang w:eastAsia="tr-TR"/>
        </w:rPr>
        <w:t xml:space="preserve"> (1) İşveren, risklerin kaynağında kontrol edilebilirliğini ve teknik gelişmeleri dikkate alarak, gürültüye maruziyetten kaynaklanan risklerin kaynağında yok edilmesini veya en aza indirilmesini sağlar ve 8, 9, 10 ve 11 inci maddelere göre hangi tedbirlerin alınacağını belirler.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(2) İşveren, maruziyetin önlenmesi veya azaltılmasında, Kanunun 5 inci maddesinde yer alan risklerden korunma ilkelerine uyar ve özellikle;</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a) Gürültüye maruziyetin daha az olduğu başka çalışma yöntemlerinin seçilmesi,</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b) Yapılan işe göre mümkün olan en düşük düzeyde gürültü yayan uygun iş ekipmanının seçilmesi,</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c) İşyerinin ve çalışılan yerlerin uygun şekilde tasarlanması ve düzenlenmesi,</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ç) İş ekipmanını doğru ve güvenli bir şekilde kullanmaları için çalışanlara gerekli bilgi ve eğitimin verilmesi,</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d) Gürültünün teknik yollarla azaltılması ve bu amaçla;</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1) Hava yoluyla yayılan gürültünün; perdeleme, kapatma, gürültü emici örtüler ve benzeri yöntemlerle azaltılması,</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2) Yapı elemanları yoluyla iletilen gürültünün; yalıtım, sönümleme ve benzeri yöntemlerle azaltılması,</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e) İşyeri, işyeri sistemleri ve iş ekipmanları için uygun bakım programlarının uygulanması,</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f) Gürültünün, iş organizasyonu ile azaltılması ve bu amaçla;</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1) Maruziyet süresi ve düzeyinin sınırlandırılması,</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2) Yeterli dinlenme aralarıyla çalışma sürelerinin düzenlenmesi,</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hususlarını göz önünde bulundurur.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(3) İşyerinde en yüksek maruziyet eylem değerlerinin aşıldığının tespiti halinde, işveren;</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a) Bu maddede belirtilen önlemleri de dikkate alarak, gürültüye maruziyeti azaltmak için teknik veya iş organizasyonuna yönelik önlemleri içeren bir eylem planı oluşturur ve uygulamaya koyar.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b) Gürültüye maruz kalınan çalışma yerlerini uygun şekilde işaretler. İşaretlenen alanların sınırlarını belirleyerek teknik olarak mümkün ise bu alanlara girişlerin kontrollü yapılmasını sağlar.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lastRenderedPageBreak/>
        <w:t>(4) İşveren, çalışanların dinlenmesi için ayrılan yerlerdeki gürültü düzeyinin, bu yerlerin kullanım şartları ve amacına uygun olmasını sağlar.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(5) İşveren, bu Yönetmeliğe göre alınacak tedbirlerin, Kanunun 10 uncu maddesi uyarınca özel politika gerektiren gruplar ile kadın çalışanların durumlarına uygun olmasını sağlar.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b/>
          <w:sz w:val="24"/>
          <w:szCs w:val="24"/>
          <w:lang w:eastAsia="tr-TR"/>
        </w:rPr>
        <w:t>Kişisel korunma</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b/>
          <w:sz w:val="24"/>
          <w:szCs w:val="24"/>
          <w:lang w:eastAsia="tr-TR"/>
        </w:rPr>
        <w:t>MADDE 9 –</w:t>
      </w:r>
      <w:r w:rsidRPr="00EB0F8F">
        <w:rPr>
          <w:rFonts w:ascii="Times New Roman" w:eastAsia="Times New Roman" w:hAnsi="Times New Roman" w:cs="Times New Roman"/>
          <w:sz w:val="24"/>
          <w:szCs w:val="24"/>
          <w:lang w:eastAsia="tr-TR"/>
        </w:rPr>
        <w:t xml:space="preserve"> (1) Gürültüye maruziyetten kaynaklanabilecek riskler, 8 inci maddede belirtilen tedbirler ile önlenemiyor ise işveren;</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a) Çalışanın gürültüye maruziyeti 5 inci maddede belirtilen en düşük maruziyet eylem değerlerini aştığında, kulak koruyucu donanımları çalışanların kullanımına hazır halde bulundurur.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b) Çalışanın gürültüye maruziyeti 5 inci maddede belirtilen en yüksek maruziyet eylem değerlerine ulaştığında ya da bu değerleri aştığında, kulak koruyucu donanımların çalışanlar tarafından kullanılmasını sağlar ve denetler.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c) Kulak koruyucu donanımların kullanılmasını sağlamak için her türlü çabayı gösterir ve bu madde gereğince alınan kişisel korunma tedbirlerinin etkinliğini kontrol eder.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(2) İşveren tarafından sağlanan kulak koruyucu donanımlar;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a) 2/7/2013 tarihli ve 28695 sayılı Resmî Gazete’de yayımlanan Kişisel Koruyucu Donanımların İşyerlerinde Kullanılması Hakkında Yönetmelik ve 29/11/2006 tarihli ve 26361 sayılı Resmî Gazete’de yayımlanan Kişisel Koruyucu Donanım Yönetmeliği hükümlerine uygun olur.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b) İşitme ile ilgili riski ortadan kaldıracak veya en aza indirecek şekilde seçilir.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c) Çalışanlar tarafından doğru kullanılır ve korunur.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ç) Çalışana tam olarak uyar.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d) Hijyenik şartların gerektirdiği durumlarda çalışana özel olarak sağlanır.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b/>
          <w:sz w:val="24"/>
          <w:szCs w:val="24"/>
          <w:lang w:eastAsia="tr-TR"/>
        </w:rPr>
        <w:t>Maruziyetin sınırlandırılması</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b/>
          <w:sz w:val="24"/>
          <w:szCs w:val="24"/>
          <w:lang w:eastAsia="tr-TR"/>
        </w:rPr>
        <w:t>MADDE 10 –</w:t>
      </w:r>
      <w:r w:rsidRPr="00EB0F8F">
        <w:rPr>
          <w:rFonts w:ascii="Times New Roman" w:eastAsia="Times New Roman" w:hAnsi="Times New Roman" w:cs="Times New Roman"/>
          <w:sz w:val="24"/>
          <w:szCs w:val="24"/>
          <w:lang w:eastAsia="tr-TR"/>
        </w:rPr>
        <w:t xml:space="preserve"> (1) Çalışanın maruziyeti, hiçbir durumda maruziyet sınır değerlerini aşamaz. Bu Yönetmelikte belirtilen bütün kontrol tedbirlerinin alınmasına rağmen, 5 inci maddede belirtilen maruziyet sınır değerlerinin aşıldığının tespit edildiği durumlarda, işveren;</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a) Maruziyeti, sınır değerlerin altına indirmek amacıyla gerekli tedbirleri derhal alır.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b) Maruziyet sınır değerlerinin aşılmasının nedenlerini belirler ve bunun tekrarını önlemek amacıyla, koruma ve önlemeye yönelik tedbirleri gözden geçirerek yeniden düzenler.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b/>
          <w:sz w:val="24"/>
          <w:szCs w:val="24"/>
          <w:lang w:eastAsia="tr-TR"/>
        </w:rPr>
        <w:t>Çalışanların bilgilendirilmesi ve eğitimi</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b/>
          <w:sz w:val="24"/>
          <w:szCs w:val="24"/>
          <w:lang w:eastAsia="tr-TR"/>
        </w:rPr>
        <w:t>MADDE 11 –</w:t>
      </w:r>
      <w:r w:rsidRPr="00EB0F8F">
        <w:rPr>
          <w:rFonts w:ascii="Times New Roman" w:eastAsia="Times New Roman" w:hAnsi="Times New Roman" w:cs="Times New Roman"/>
          <w:sz w:val="24"/>
          <w:szCs w:val="24"/>
          <w:lang w:eastAsia="tr-TR"/>
        </w:rPr>
        <w:t xml:space="preserve"> (1) İşveren, işyerinde 5 inci maddede belirtilen en düşük maruziyet eylem değerlerine eşit veya bu değerlerin üzerindeki gürültüye maruz kalan çalışanların veya temsilcilerinin gürültü maruziyeti ile ilgili olarak ve özellikle;</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a) Gürültüden kaynaklanabilecek riskler,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b) Gürültüden kaynaklanabilecek riskleri önlemek veya en aza indirmek amacıyla alınan tedbirler ve bu tedbirlerin uygulanacağı şartlar,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c) 5 inci maddede belirtilen maruziyet sınır değerleri ve maruziyet eylem değerleri,</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lastRenderedPageBreak/>
        <w:t>ç) Gürültüden kaynaklanabilecek risklerin değerlendirilmesi ve gürültü ölçümünün sonuçları ile bunların önemi,</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d) Kulak koruyucularının doğru kullanılması,</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e) İşyerinde gürültüye bağlı işitme kaybı belirtisinin tespit ve bildiriminin nasıl ve neden yapılacağı,</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f) Bakanlıkça sağlık gözetimine ilişkin çıkarılacak ilgili mevzuat hükümlerine ve 13 üncü maddeye göre, çalışanların hangi şartlarda sağlık gözetimine tabi tutulacağı ve sağlık gözetiminin amacı,</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g) Gürültü maruziyetini en aza indirecek güvenli çalışma uygulamaları,</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hususlarında bilgilendirilmelerini ve eğitilmelerini sağlar.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b/>
          <w:sz w:val="24"/>
          <w:szCs w:val="24"/>
          <w:lang w:eastAsia="tr-TR"/>
        </w:rPr>
        <w:t>Çalışanların görüşlerinin alınması ve katılımlarının sağlanması</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b/>
          <w:sz w:val="24"/>
          <w:szCs w:val="24"/>
          <w:lang w:eastAsia="tr-TR"/>
        </w:rPr>
        <w:t>MADDE 12 –</w:t>
      </w:r>
      <w:r w:rsidRPr="00EB0F8F">
        <w:rPr>
          <w:rFonts w:ascii="Times New Roman" w:eastAsia="Times New Roman" w:hAnsi="Times New Roman" w:cs="Times New Roman"/>
          <w:sz w:val="24"/>
          <w:szCs w:val="24"/>
          <w:lang w:eastAsia="tr-TR"/>
        </w:rPr>
        <w:t xml:space="preserve"> (1) İşveren, bu Yönetmeliğin kapsadığı konularda ve özellikle;</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a) 7 nci maddeye göre gerçekleştirilecek olan risk değerlendirmesi,</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b) 8 inci maddeye göre risklerin ortadan kaldırılması veya azaltılması için alınacak önlemlerin belirlenmesi ve uygulanacak tedbirler,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c) 9 uncu maddede belirtilen kulak koruyucularının seçilmesi,</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hususlarında çalışanların veya temsilcilerinin görüşlerini alır ve katılımlarını sağlar.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b/>
          <w:sz w:val="24"/>
          <w:szCs w:val="24"/>
          <w:lang w:eastAsia="tr-TR"/>
        </w:rPr>
        <w:t>Sağlık gözetimi</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b/>
          <w:sz w:val="24"/>
          <w:szCs w:val="24"/>
          <w:lang w:eastAsia="tr-TR"/>
        </w:rPr>
        <w:t>MADDE 13 –</w:t>
      </w:r>
      <w:r w:rsidRPr="00EB0F8F">
        <w:rPr>
          <w:rFonts w:ascii="Times New Roman" w:eastAsia="Times New Roman" w:hAnsi="Times New Roman" w:cs="Times New Roman"/>
          <w:sz w:val="24"/>
          <w:szCs w:val="24"/>
          <w:lang w:eastAsia="tr-TR"/>
        </w:rPr>
        <w:t xml:space="preserve"> (1) Gürültüye bağlı olan herhangi bir işitme kaybında erken tanı konulması ve çalışanların işitme kabiliyetinin korunması amacıyla;</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a) İşveren;</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1) Kanunun 15 inci maddesine göre gereken durumlarda,</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2) İşyerinde gerçekleştirilen risk değerlendirmesi sonuçlarına göre gerekli görüldüğü hallerde,</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3) İşyeri hekimince belirlenecek düzenli aralıklarla,</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çalışanların sağlık gözetimine tabi tutulmalarını sağlar.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b) 5 inci maddede belirtilen en yüksek maruziyet eylem değerlerini aşan gürültüye maruz kalan çalışanlar için, işitme testleri işverence yaptırılır.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c) Risk değerlendirmesi ve ölçüm sonuçlarının bir sağlık riski olduğunu gösterdiği yerlerde, 5 inci maddede belirtilen en düşük maruziyet eylem değerlerini aşan gürültüye maruz kalan çalışanlar için de işitme testleri yaptırılabilir.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(2) İşitme ile ilgili sağlık gözetimi sonucunda, çalışanda tespit edilen işitme kaybının işe bağlı gürültü nedeniyle oluştuğunun tespiti halinde;</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a) Çalışan, işyeri hekimi tarafından, kendisi ile ilgili sonuçlar hakkında bilgilendirilir.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b) İşveren;</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1) İşyerinde yapılan risk değerlendirmesini gözden geçirir.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lastRenderedPageBreak/>
        <w:t>2) Riskleri önlemek veya azaltmak için alınan önlemleri gözden geçirir.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3) Riskleri önlemek veya azaltmak için çalışanın gürültüye maruz kalmayacağı başka bir işte görevlendirilmesi gibi gerekli görülen tedbirleri uygular.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4) Benzer biçimde gürültüye maruz kalan diğer çalışanların, sağlık durumunun gözden geçirilmesini ve düzenli bir sağlık gözetimine tabi tutulmalarını sağlar.</w:t>
      </w:r>
    </w:p>
    <w:p w:rsidR="00EB0F8F" w:rsidRPr="00EB0F8F" w:rsidRDefault="00EB0F8F" w:rsidP="00EB0F8F">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ÜÇÜNCÜ BÖLÜM</w:t>
      </w:r>
    </w:p>
    <w:p w:rsidR="00EB0F8F" w:rsidRPr="00EB0F8F" w:rsidRDefault="00EB0F8F" w:rsidP="00EB0F8F">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EB0F8F">
        <w:rPr>
          <w:rFonts w:ascii="Times New Roman" w:eastAsia="Times New Roman" w:hAnsi="Times New Roman" w:cs="Times New Roman"/>
          <w:sz w:val="24"/>
          <w:szCs w:val="24"/>
          <w:lang w:eastAsia="tr-TR"/>
        </w:rPr>
        <w:t>Çeşitli ve Son Hükümler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b/>
          <w:sz w:val="24"/>
          <w:szCs w:val="24"/>
          <w:lang w:eastAsia="tr-TR"/>
        </w:rPr>
        <w:t>Yürürlükten kaldırılan yönetmelik</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b/>
          <w:sz w:val="24"/>
          <w:szCs w:val="24"/>
          <w:lang w:eastAsia="tr-TR"/>
        </w:rPr>
        <w:t>MADDE 14 –</w:t>
      </w:r>
      <w:r w:rsidRPr="00EB0F8F">
        <w:rPr>
          <w:rFonts w:ascii="Times New Roman" w:eastAsia="Times New Roman" w:hAnsi="Times New Roman" w:cs="Times New Roman"/>
          <w:sz w:val="24"/>
          <w:szCs w:val="24"/>
          <w:lang w:eastAsia="tr-TR"/>
        </w:rPr>
        <w:t xml:space="preserve"> (1) 23/12/2003 tarihli ve 25325 sayılı Resmî Gazete’de yayımlanan Gürültü Yönetmeliği yürürlükten kaldırılmıştır.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b/>
          <w:sz w:val="24"/>
          <w:szCs w:val="24"/>
          <w:lang w:eastAsia="tr-TR"/>
        </w:rPr>
        <w:t>Yürürlük</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b/>
          <w:sz w:val="24"/>
          <w:szCs w:val="24"/>
          <w:lang w:eastAsia="tr-TR"/>
        </w:rPr>
        <w:t>MADDE 15 –</w:t>
      </w:r>
      <w:r w:rsidRPr="00EB0F8F">
        <w:rPr>
          <w:rFonts w:ascii="Times New Roman" w:eastAsia="Times New Roman" w:hAnsi="Times New Roman" w:cs="Times New Roman"/>
          <w:sz w:val="24"/>
          <w:szCs w:val="24"/>
          <w:lang w:eastAsia="tr-TR"/>
        </w:rPr>
        <w:t xml:space="preserve"> (1) Bu Yönetmelik yayımı tarihinde yürürlüğe girer.</w:t>
      </w:r>
    </w:p>
    <w:p w:rsidR="00EB0F8F" w:rsidRPr="00EB0F8F" w:rsidRDefault="00EB0F8F" w:rsidP="00EB0F8F">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b/>
          <w:sz w:val="24"/>
          <w:szCs w:val="24"/>
          <w:lang w:eastAsia="tr-TR"/>
        </w:rPr>
        <w:t>Yürütme</w:t>
      </w:r>
    </w:p>
    <w:p w:rsidR="003A1AC9" w:rsidRDefault="00EB0F8F" w:rsidP="00EB0F8F">
      <w:pPr>
        <w:jc w:val="both"/>
        <w:rPr>
          <w:rFonts w:ascii="Times New Roman" w:eastAsia="Times New Roman" w:hAnsi="Times New Roman" w:cs="Times New Roman"/>
          <w:sz w:val="24"/>
          <w:szCs w:val="24"/>
          <w:lang w:eastAsia="tr-TR"/>
        </w:rPr>
      </w:pPr>
      <w:r w:rsidRPr="00EB0F8F">
        <w:rPr>
          <w:rFonts w:ascii="Times New Roman" w:eastAsia="Times New Roman" w:hAnsi="Times New Roman" w:cs="Times New Roman"/>
          <w:b/>
          <w:sz w:val="24"/>
          <w:szCs w:val="24"/>
          <w:lang w:eastAsia="tr-TR"/>
        </w:rPr>
        <w:t>MADDE 16 –</w:t>
      </w:r>
      <w:r w:rsidRPr="00EB0F8F">
        <w:rPr>
          <w:rFonts w:ascii="Times New Roman" w:eastAsia="Times New Roman" w:hAnsi="Times New Roman" w:cs="Times New Roman"/>
          <w:sz w:val="24"/>
          <w:szCs w:val="24"/>
          <w:lang w:eastAsia="tr-TR"/>
        </w:rPr>
        <w:t xml:space="preserve"> (1) Bu Yönetmelik hükümlerini Çalışma ve Sosyal Güvenlik Bakanı yürütü</w:t>
      </w:r>
      <w:r>
        <w:rPr>
          <w:rFonts w:ascii="Times New Roman" w:eastAsia="Times New Roman" w:hAnsi="Times New Roman" w:cs="Times New Roman"/>
          <w:sz w:val="24"/>
          <w:szCs w:val="24"/>
          <w:lang w:eastAsia="tr-TR"/>
        </w:rPr>
        <w:t>r.</w:t>
      </w:r>
    </w:p>
    <w:sectPr w:rsidR="003A1AC9" w:rsidSect="007F3328">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026" w:rsidRDefault="00811026" w:rsidP="007F3328">
      <w:pPr>
        <w:spacing w:after="0" w:line="240" w:lineRule="auto"/>
      </w:pPr>
      <w:r>
        <w:separator/>
      </w:r>
    </w:p>
  </w:endnote>
  <w:endnote w:type="continuationSeparator" w:id="1">
    <w:p w:rsidR="00811026" w:rsidRDefault="00811026"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556CED" w:rsidP="007F3328">
            <w:pPr>
              <w:pStyle w:val="Altbilgi"/>
              <w:jc w:val="right"/>
              <w:rPr>
                <w:i/>
                <w:sz w:val="20"/>
                <w:szCs w:val="20"/>
              </w:rPr>
            </w:pPr>
            <w:r w:rsidRPr="007F3328">
              <w:rPr>
                <w:bCs/>
                <w:i/>
                <w:sz w:val="20"/>
                <w:szCs w:val="20"/>
              </w:rPr>
              <w:fldChar w:fldCharType="begin"/>
            </w:r>
            <w:r w:rsidR="007F3328" w:rsidRPr="007F3328">
              <w:rPr>
                <w:bCs/>
                <w:i/>
                <w:sz w:val="20"/>
                <w:szCs w:val="20"/>
              </w:rPr>
              <w:instrText>PAGE</w:instrText>
            </w:r>
            <w:r w:rsidRPr="007F3328">
              <w:rPr>
                <w:bCs/>
                <w:i/>
                <w:sz w:val="20"/>
                <w:szCs w:val="20"/>
              </w:rPr>
              <w:fldChar w:fldCharType="separate"/>
            </w:r>
            <w:r w:rsidR="008D0CD0">
              <w:rPr>
                <w:bCs/>
                <w:i/>
                <w:noProof/>
                <w:sz w:val="20"/>
                <w:szCs w:val="20"/>
              </w:rPr>
              <w:t>6</w:t>
            </w:r>
            <w:r w:rsidRPr="007F3328">
              <w:rPr>
                <w:bCs/>
                <w:i/>
                <w:sz w:val="20"/>
                <w:szCs w:val="20"/>
              </w:rPr>
              <w:fldChar w:fldCharType="end"/>
            </w:r>
            <w:r w:rsidR="007F3328" w:rsidRPr="007F3328">
              <w:rPr>
                <w:i/>
                <w:sz w:val="20"/>
                <w:szCs w:val="20"/>
              </w:rPr>
              <w:t xml:space="preserve"> / </w:t>
            </w:r>
            <w:r w:rsidRPr="007F3328">
              <w:rPr>
                <w:bCs/>
                <w:i/>
                <w:sz w:val="20"/>
                <w:szCs w:val="20"/>
              </w:rPr>
              <w:fldChar w:fldCharType="begin"/>
            </w:r>
            <w:r w:rsidR="007F3328" w:rsidRPr="007F3328">
              <w:rPr>
                <w:bCs/>
                <w:i/>
                <w:sz w:val="20"/>
                <w:szCs w:val="20"/>
              </w:rPr>
              <w:instrText>NUMPAGES</w:instrText>
            </w:r>
            <w:r w:rsidRPr="007F3328">
              <w:rPr>
                <w:bCs/>
                <w:i/>
                <w:sz w:val="20"/>
                <w:szCs w:val="20"/>
              </w:rPr>
              <w:fldChar w:fldCharType="separate"/>
            </w:r>
            <w:r w:rsidR="008D0CD0">
              <w:rPr>
                <w:bCs/>
                <w:i/>
                <w:noProof/>
                <w:sz w:val="20"/>
                <w:szCs w:val="20"/>
              </w:rPr>
              <w:t>6</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026" w:rsidRDefault="00811026" w:rsidP="007F3328">
      <w:pPr>
        <w:spacing w:after="0" w:line="240" w:lineRule="auto"/>
      </w:pPr>
      <w:r>
        <w:separator/>
      </w:r>
    </w:p>
  </w:footnote>
  <w:footnote w:type="continuationSeparator" w:id="1">
    <w:p w:rsidR="00811026" w:rsidRDefault="00811026"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0E27"/>
    <w:rsid w:val="00057457"/>
    <w:rsid w:val="00060E27"/>
    <w:rsid w:val="001D4B92"/>
    <w:rsid w:val="003A1AC9"/>
    <w:rsid w:val="004556F8"/>
    <w:rsid w:val="00556CED"/>
    <w:rsid w:val="007F3328"/>
    <w:rsid w:val="00811026"/>
    <w:rsid w:val="008D0CD0"/>
    <w:rsid w:val="009E2A48"/>
    <w:rsid w:val="00EB0F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character" w:customStyle="1" w:styleId="grame">
    <w:name w:val="grame"/>
    <w:basedOn w:val="VarsaylanParagrafYazTipi"/>
    <w:rsid w:val="00EB0F8F"/>
  </w:style>
  <w:style w:type="paragraph" w:styleId="NormalWeb">
    <w:name w:val="Normal (Web)"/>
    <w:basedOn w:val="Normal"/>
    <w:uiPriority w:val="99"/>
    <w:unhideWhenUsed/>
    <w:rsid w:val="00EB0F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EB0F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EB0F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B0F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EB0F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character" w:customStyle="1" w:styleId="grame">
    <w:name w:val="grame"/>
    <w:basedOn w:val="VarsaylanParagrafYazTipi"/>
    <w:rsid w:val="00EB0F8F"/>
  </w:style>
  <w:style w:type="paragraph" w:styleId="NormalWeb">
    <w:name w:val="Normal (Web)"/>
    <w:basedOn w:val="Normal"/>
    <w:uiPriority w:val="99"/>
    <w:unhideWhenUsed/>
    <w:rsid w:val="00EB0F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EB0F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EB0F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B0F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EB0F8F"/>
  </w:style>
</w:styles>
</file>

<file path=word/webSettings.xml><?xml version="1.0" encoding="utf-8"?>
<w:webSettings xmlns:r="http://schemas.openxmlformats.org/officeDocument/2006/relationships" xmlns:w="http://schemas.openxmlformats.org/wordprocessingml/2006/main">
  <w:divs>
    <w:div w:id="131545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1919</Words>
  <Characters>10944</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5</cp:revision>
  <dcterms:created xsi:type="dcterms:W3CDTF">2013-04-27T09:36:00Z</dcterms:created>
  <dcterms:modified xsi:type="dcterms:W3CDTF">2014-12-26T12:14:00Z</dcterms:modified>
</cp:coreProperties>
</file>