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11" w:rsidRPr="00B83C11" w:rsidRDefault="00B83C11" w:rsidP="00B83C11">
      <w:pPr>
        <w:shd w:val="clear" w:color="auto" w:fill="FFFFFF"/>
        <w:spacing w:before="56" w:after="226" w:line="240" w:lineRule="atLeast"/>
        <w:jc w:val="center"/>
        <w:rPr>
          <w:rFonts w:ascii="Times New Roman" w:eastAsia="Times New Roman" w:hAnsi="Times New Roman" w:cs="Times New Roman"/>
          <w:b/>
          <w:color w:val="1C283D"/>
          <w:sz w:val="24"/>
          <w:szCs w:val="24"/>
          <w:lang w:eastAsia="tr-TR"/>
        </w:rPr>
      </w:pPr>
      <w:r w:rsidRPr="00B83C11">
        <w:rPr>
          <w:rFonts w:ascii="Times New Roman" w:eastAsia="Times New Roman" w:hAnsi="Times New Roman" w:cs="Times New Roman"/>
          <w:b/>
          <w:color w:val="1C283D"/>
          <w:sz w:val="24"/>
          <w:szCs w:val="24"/>
          <w:lang w:eastAsia="tr-TR"/>
        </w:rPr>
        <w:t>ELEKTRONİK TEBLİGAT YÖNETMELİĞİ</w:t>
      </w:r>
    </w:p>
    <w:p w:rsidR="00B83C11" w:rsidRPr="00B83C11" w:rsidRDefault="00B83C11" w:rsidP="00B83C11">
      <w:pPr>
        <w:spacing w:after="0" w:line="240" w:lineRule="auto"/>
        <w:jc w:val="center"/>
        <w:rPr>
          <w:rFonts w:ascii="Times New Roman" w:eastAsia="Times New Roman" w:hAnsi="Times New Roman" w:cs="Times New Roman"/>
          <w:b/>
          <w:sz w:val="24"/>
          <w:szCs w:val="24"/>
          <w:lang w:eastAsia="tr-TR"/>
        </w:rPr>
      </w:pPr>
      <w:r w:rsidRPr="00B83C11">
        <w:rPr>
          <w:rFonts w:ascii="Times New Roman" w:eastAsia="Times New Roman" w:hAnsi="Times New Roman" w:cs="Times New Roman"/>
          <w:b/>
          <w:color w:val="1C283D"/>
          <w:sz w:val="24"/>
          <w:szCs w:val="24"/>
          <w:shd w:val="clear" w:color="auto" w:fill="FFFFFF"/>
          <w:lang w:eastAsia="tr-TR"/>
        </w:rPr>
        <w:t xml:space="preserve">Resmi Gazete Tarihi: 19.01.2013 Resmi Gazete Sayısı: 28533   </w:t>
      </w:r>
    </w:p>
    <w:p w:rsidR="00B83C11" w:rsidRPr="00B83C11" w:rsidRDefault="00B83C11" w:rsidP="00B83C11">
      <w:pPr>
        <w:shd w:val="clear" w:color="auto" w:fill="FFFFFF"/>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BİRİNCİ BÖLÜM</w:t>
      </w:r>
    </w:p>
    <w:p w:rsidR="00B83C11" w:rsidRPr="00B83C11" w:rsidRDefault="00B83C11" w:rsidP="00B83C11">
      <w:pPr>
        <w:shd w:val="clear" w:color="auto" w:fill="FFFFFF"/>
        <w:spacing w:before="100" w:beforeAutospacing="1" w:after="56" w:line="240" w:lineRule="atLeast"/>
        <w:jc w:val="center"/>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Am</w:t>
      </w:r>
      <w:bookmarkStart w:id="0" w:name="_GoBack"/>
      <w:bookmarkEnd w:id="0"/>
      <w:r w:rsidRPr="00B83C11">
        <w:rPr>
          <w:rFonts w:ascii="Times New Roman" w:eastAsia="Times New Roman" w:hAnsi="Times New Roman" w:cs="Times New Roman"/>
          <w:color w:val="1C283D"/>
          <w:sz w:val="24"/>
          <w:szCs w:val="24"/>
          <w:lang w:eastAsia="tr-TR"/>
        </w:rPr>
        <w:t>aç, Kapsam, Dayanak, Tanımlar ve İlkeler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Amaç ve kapsam</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 –</w:t>
      </w:r>
      <w:r w:rsidRPr="00B83C11">
        <w:rPr>
          <w:rFonts w:ascii="Times New Roman" w:eastAsia="Times New Roman" w:hAnsi="Times New Roman" w:cs="Times New Roman"/>
          <w:color w:val="1C283D"/>
          <w:sz w:val="24"/>
          <w:szCs w:val="24"/>
          <w:lang w:eastAsia="tr-TR"/>
        </w:rPr>
        <w:t> (1) Bu Yönetmeliğin amacı; elektronik ortamda yapılacak tebligatlara ilişkin usul ve esasları düzenlemektir.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(2) Bu Yönetmelik, kazaî merciler, 10/12/2003 tarihli ve 5018 sayılı Kamu Malî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il özel idareleri, belediyeler, köy hükmî şahsiyetleri, barolar ve noterler tarafından Posta ve Telgraf Teşkilatı Genel Müdürlüğü vasıtasıyla yapılacak elektronik tebligatları kapsar.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Dayanak</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2 –</w:t>
      </w:r>
      <w:r w:rsidRPr="00B83C11">
        <w:rPr>
          <w:rFonts w:ascii="Times New Roman" w:eastAsia="Times New Roman" w:hAnsi="Times New Roman" w:cs="Times New Roman"/>
          <w:color w:val="1C283D"/>
          <w:sz w:val="24"/>
          <w:szCs w:val="24"/>
          <w:lang w:eastAsia="tr-TR"/>
        </w:rPr>
        <w:t> (1) Bu Yönetmelik, 11/2/1959 tarihli ve 7201 sayılı Tebligat Kanununun 7/a maddesine dayanılarak hazırlanmıştır.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Tanımlar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3 –</w:t>
      </w:r>
      <w:r w:rsidRPr="00B83C11">
        <w:rPr>
          <w:rFonts w:ascii="Times New Roman" w:eastAsia="Times New Roman" w:hAnsi="Times New Roman" w:cs="Times New Roman"/>
          <w:color w:val="1C283D"/>
          <w:sz w:val="24"/>
          <w:szCs w:val="24"/>
          <w:lang w:eastAsia="tr-TR"/>
        </w:rPr>
        <w:t> (1) Bu Yönetmelikte geçen;</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a) Elektronik tebligat: Bu Yönetmelik kapsamına uygun olarak elektronik ortamda yapılan tebligatı,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b) Elektronik tebligat adresi: Muhatap ve tebligatı çıkaran merciye ait olan elektronik tebligata elverişli kayıtlı elektronik posta adresini,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c) Elektronik tebligat hizmeti: Bilişim sistemleri vasıtasıyla muhatabın elektronik tebligat adresine iletilmek üzere, tebligatı çıkaran merci tarafından tebligatın gönderilmesini ve bu iletinin muhataba elektronik ortamda delillendirilerek tesliminin sağlanması hizmetini,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ç) Elektronik tebligat mesajı: Tebliğ edilecek içerik veya diğer ekli dokümanlar ile tebliğ için gerekli muhatap bilgilerinden oluşan tebligat mesajının tümünün tebligatı çıkaran merci tarafından güvenli elektronik imza ile imzalanmış halini,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d) Güvenli elektronik imza: 15/1/2004 tarihli ve 5070 sayılı Elektronik İmza Kanununun 4 üncü maddesinde tanımlanan güvenli elektronik imzayı,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e) Hizmet sağlayıcısı: Kayıtlı elektronik posta hizmet sağlayıcısını,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f) İdare: Posta ve Telgraf Teşkilatı Genel Müdürlüğünü,</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g) İşlem sertifikası: İdarenin veya diğer hizmet sağlayıcılarının hizmetlerine ilişkin işlem verilerini imzalamak için kullandığı elektronik sertifikayı,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ğ) Kanun: 11/2/1959 tarihli ve 7201 sayılı Tebligat Kanununu,</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lastRenderedPageBreak/>
        <w:t>h) Kayıtlı elektronik posta (KEP): Elektronik iletilerin, gönderimi ve teslimatı da dâhil olmak üzere kullanımına ilişkin olarak delil sağlayan, elektronik postanın nitelikli şeklini,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ı) MERSİS: Gümrük ve Ticaret Bakanlığı tarafından oluşturulan ve yönetilen Merkezi Sicil Kayıt Sistemini,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i) MERSİS No: MERSİS tarafından verilen tekil numarayı,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j) Muhatap: Elektronik tebligatı alan gerçek veya tüzel kişiyi,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k) Olay kaydı: İdare veya diğer hizmet sağlayıcılar tarafından elektronik tebligat hizmetinin verilmesi esnasında meydana gelen ve mevzuat gereği kaydının tutulması zorunlu olan tüm bilişim sistemi işlem kayıtlarını,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l) Tebligatı çıkaran merci: Elektronik tebligat göndermek için İdare tarafından kendilerine elektronik tebligat adresi verilen bu Yönetmeliğin 1 inci maddesinin ikinci fıkrasında belirtilen kazaî merciler ile diğer kurum ve kuruluşları,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m) Zaman damgası: 5070 sayılı Kanunun 3 üncü maddesinde tanımlanan zaman damgasını,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ifade eder.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İlkeler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4 –</w:t>
      </w:r>
      <w:r w:rsidRPr="00B83C11">
        <w:rPr>
          <w:rFonts w:ascii="Times New Roman" w:eastAsia="Times New Roman" w:hAnsi="Times New Roman" w:cs="Times New Roman"/>
          <w:color w:val="1C283D"/>
          <w:sz w:val="24"/>
          <w:szCs w:val="24"/>
          <w:lang w:eastAsia="tr-TR"/>
        </w:rPr>
        <w:t> (1) Bu Yönetmeliğin uygulanmasında aşağıdaki ilkeler göz önüne alınır: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a) Bilgi güvenliğinin sağlanması.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b) Kişisel verilerin korunması.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c) Birlikte çalışabilirlik.</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ç) Hizmet kalitesinin sağlanması.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d) Uluslararası standartların sağlanması.</w:t>
      </w:r>
    </w:p>
    <w:p w:rsidR="00B83C11" w:rsidRPr="00B83C11" w:rsidRDefault="00B83C11" w:rsidP="00B83C11">
      <w:pPr>
        <w:shd w:val="clear" w:color="auto" w:fill="FFFFFF"/>
        <w:spacing w:before="56" w:after="100" w:afterAutospacing="1" w:line="240" w:lineRule="atLeast"/>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İKİNCİ BÖLÜM</w:t>
      </w:r>
    </w:p>
    <w:p w:rsidR="00B83C11" w:rsidRPr="00B83C11" w:rsidRDefault="00B83C11" w:rsidP="00B83C11">
      <w:pPr>
        <w:shd w:val="clear" w:color="auto" w:fill="FFFFFF"/>
        <w:spacing w:before="100" w:beforeAutospacing="1" w:after="56" w:line="240" w:lineRule="atLeast"/>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Elektronik Tebligatla İlgili Genel Hükümler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Elektronik tebligat hizmeti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5 –</w:t>
      </w:r>
      <w:r w:rsidRPr="00B83C11">
        <w:rPr>
          <w:rFonts w:ascii="Times New Roman" w:eastAsia="Times New Roman" w:hAnsi="Times New Roman" w:cs="Times New Roman"/>
          <w:color w:val="1C283D"/>
          <w:sz w:val="24"/>
          <w:szCs w:val="24"/>
          <w:lang w:eastAsia="tr-TR"/>
        </w:rPr>
        <w:t> (1) Elektronik ortamda tebligat yapmaya yetkili kılınmış İdare, elektronik tebligat hizmetini yerine getirir.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Elektronik tebligat adresi edinme</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6 –</w:t>
      </w:r>
      <w:r w:rsidRPr="00B83C11">
        <w:rPr>
          <w:rFonts w:ascii="Times New Roman" w:eastAsia="Times New Roman" w:hAnsi="Times New Roman" w:cs="Times New Roman"/>
          <w:color w:val="1C283D"/>
          <w:sz w:val="24"/>
          <w:szCs w:val="24"/>
          <w:lang w:eastAsia="tr-TR"/>
        </w:rPr>
        <w:t> (1) Tebligatı çıkaran merciler, elektronik tebligat adresi almak için İdareye başvurur. Yapılan başvuruda, elektronik tebligat adresinin hangi birim ve personel tarafından kullanılacağı da belirtilir.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 xml:space="preserve">(2) Tebligatı çıkaran merciin merkezî yapıda bir bilişim sistemine sahip olması, işlemlerini elektronik ortamda yapması ve talebi halinde, merci bünyesinde bulunan tüm birimler için tek bir elektronik tebligat </w:t>
      </w:r>
      <w:r w:rsidRPr="00B83C11">
        <w:rPr>
          <w:rFonts w:ascii="Times New Roman" w:eastAsia="Times New Roman" w:hAnsi="Times New Roman" w:cs="Times New Roman"/>
          <w:color w:val="1C283D"/>
          <w:sz w:val="24"/>
          <w:szCs w:val="24"/>
          <w:lang w:eastAsia="tr-TR"/>
        </w:rPr>
        <w:lastRenderedPageBreak/>
        <w:t>adresi kullanılır. Elektronik tebligat gönderme işlemi tebligatı çıkaran merciin sistemi ile İdarenin sistemi arasında yapılacak entegrasyonla sağlanır.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(3) Elektronik tebligat hizmetinden yararlanacak muhatap, elektronik tebligata elverişli kayıtlı elektronik posta adresi edinir.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(4) Gerçek kişi muhataplar, güvenli elektronik imza vasıtasıyla elektronik tebligat adresi almak için hizmet sağlayıcılara başvuru yapabilir.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(5) Muhataplara ait elektronik tebligat adresleri ve bu adreslere ilişkin değişiklikler, Türkiye Cumhuriyeti kimlik numarası veya MERSİS numarasıyla eşleştirilmiş şekilde hizmet sağlayıcılar arasında gerçekleştirilecek entegrasyon kapsamında, tebligat çıkarmaya yetkili mercilerin ve tüm hizmet sağlayıcıların erişimine açık bir şekilde elektronik tebligat hizmeti alanlar listesinde tutulur. Elektronik tebligat hizmetinden isteğe bağlı olarak yararlananların, bu listede yer almaları muvafakatlerine bağlıdır.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Elektronik tebligat hizmetinden yararlanma</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7 –</w:t>
      </w:r>
      <w:r w:rsidRPr="00B83C11">
        <w:rPr>
          <w:rFonts w:ascii="Times New Roman" w:eastAsia="Times New Roman" w:hAnsi="Times New Roman" w:cs="Times New Roman"/>
          <w:color w:val="1C283D"/>
          <w:sz w:val="24"/>
          <w:szCs w:val="24"/>
          <w:lang w:eastAsia="tr-TR"/>
        </w:rPr>
        <w:t> (1) Anonim, limited ve sermayesi paylara bölünmüş komandit şirketlere, elektronik yolla tebligat yapılması zorunludur. Gerçek kişiler ve diğer tüzel kişiler elektronik tebligattan isteğe bağlı olarak yararlanır.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(2) Kendilerine yalnızca elektronik yolla tebligat yapılması zorunlu olan muhatapların, tebligat çıkarmaya yetkili merciler nezdindeki işlemlerinde elektronik tebligat adreslerini bildirmeleri zorunludur.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(3) Kendilerine zorunlu olarak elektronik yolla tebligat yapılması gereken muhataplara, elektronik tebligatın zorunlu bir sebeple yapılamaması hâlinde, Kanunda belirtilen diğer usullerle tebligat yapılır. Bu tebligatta ayrıca, müteakip tebligatların elektronik ortamda yapılacağı bildirilir.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(4) Kendilerine elektronik yolla tebligat yapılması isteğe bağlı olan muhatapların, elektronik yolla tebligat almak istemeleri halinde, tebligat çıkarmaya yetkili merciler nezdindeki işlemlerinde elektronik tebligat adresini bildirmeleri gerekir. Bu muhatapların, tebliğ çıkaran merciye bildirdiği adresin elektronik tebligata elverişli olmaması halinde, bunlara, Kanunda belirtilen diğer usullerle tebligat yapılır. Bu durumda gönderilecek tebligata, muhatabın bildirmiş olduğu adresin, elektronik tebligata elverişli olmadığına ilişkin şerh düşülür.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Tebligatı çıkaran merci tarafından elektronik tebligatın gönderilmesi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8 –</w:t>
      </w:r>
      <w:r w:rsidRPr="00B83C11">
        <w:rPr>
          <w:rFonts w:ascii="Times New Roman" w:eastAsia="Times New Roman" w:hAnsi="Times New Roman" w:cs="Times New Roman"/>
          <w:color w:val="1C283D"/>
          <w:sz w:val="24"/>
          <w:szCs w:val="24"/>
          <w:lang w:eastAsia="tr-TR"/>
        </w:rPr>
        <w:t> (1) Tebligatı çıkaran merci, elektronik tebligat mesajını İdare tarafından verilen elektronik tebligat adresi aracılığıyla İdareye iletir.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İdare tarafından elektronik tebligatın alınması ve muhataba iletilmesi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9 –</w:t>
      </w:r>
      <w:r w:rsidRPr="00B83C11">
        <w:rPr>
          <w:rFonts w:ascii="Times New Roman" w:eastAsia="Times New Roman" w:hAnsi="Times New Roman" w:cs="Times New Roman"/>
          <w:color w:val="1C283D"/>
          <w:sz w:val="24"/>
          <w:szCs w:val="24"/>
          <w:lang w:eastAsia="tr-TR"/>
        </w:rPr>
        <w:t> (1) Kendisine elektronik tebligat mesajı ulaşan İdare, bu mesajı zaman damgasıyla ilişkilendirerek muhatabın elektronik tebligat adresine; muhatap diğer bir hizmet sağlayıcıdan elektronik tebligat adresi almış ise, bu hizmet sağlayıcının sunucusuna iletir. Kendisine elektronik tebligat mesajı ulaşan diğer hizmet sağlayıcıları da bu mesajı zaman damgasıyla ilişkilendirerek muhatabın elektronik tebligat adresine iletir.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(2) İdare ve hizmet sağlayıcılar, zaman damgası bilgisini ve mesaj özetini muhataba iletmez, sisteminde tutar.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(3) Elektronik yolla tebligat, muhatabın elektronik tebligat adresine ulaştığı tarihi izleyen beşinci günün sonunda yapılmış sayılır.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lastRenderedPageBreak/>
        <w:t>(4) Hizmet sağlayıcılar, muhatabın adresine elektronik tebligatın iletilip iletilmediğine ve gecikme oluşmuşsa bu gecikmeye ilişkin kayıtlar da dahil tüm süreçlerin olay kayıtlarını tutar, bu bilgileri İdarenin sistemi vasıtasıyla tebligatı çıkaran merciye derhal bildirir.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(5) Olay kayıtları günde en az bir defa olmak üzere zaman damgası eklenerek güvenli elektronik imzayla imzalanır ve erişilebilir şekilde arşivlerde otuz yıl süreyle saklanır.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(6) Hizmet sağlayıcılar, talep halinde elektronik tebligata ilişkin delil kayıtlarını yetkili mercilere elektronik ortamda sunmakla ve bu amaçla oluşturacağı sistemi hazır tutmakla yükümlüdür.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Muhatabın diğer usullerle bilgilendirilmesi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10 – </w:t>
      </w:r>
      <w:r w:rsidRPr="00B83C11">
        <w:rPr>
          <w:rFonts w:ascii="Times New Roman" w:eastAsia="Times New Roman" w:hAnsi="Times New Roman" w:cs="Times New Roman"/>
          <w:color w:val="1C283D"/>
          <w:sz w:val="24"/>
          <w:szCs w:val="24"/>
          <w:lang w:eastAsia="tr-TR"/>
        </w:rPr>
        <w:t>(1) Muhatap tarafından hizmet sağlayıcıya iletişim için diğer bir elektronik posta adresi bildirilmişse, elektronik tebligatın ulaştığı anda bu adrese, bilgilendirme mesajı gönderilir.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(2) Muhatap tarafından hizmet sağlayıcıya iletişim için kısa mesaj alma özelliği olan telefon numarası bildirilmişse, talep halinde ve ücreti muhataba ait olmak üzere bu telefon numarasına hizmet sağlayıcı tarafından elektronik tebligat bilgilendirme mesajı gönderilir.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(3) Bu madde kapsamındaki bilgilendirmelerin herhangi bir nedenle yapılamamış olması, tebligat süresini ve geçerliliğini etkilemez, hizmet sağlayıcının da ikinci fıkra gereğince muhataptan alacağı ücretin iadesi dışında bu madde kapsamında herhangi bir sorumluluğunu gerektirmez.</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(4) Muhatabın bu madde kapsamında bilgilendirilmesine ilişkin olay kayıtları hizmet sağlayıcı tarafından tutulur.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Hizmet sağlayıcılar tarafından kullanılacak işlem sertifikasında bulunması gerekli hususlar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11 –</w:t>
      </w:r>
      <w:r w:rsidRPr="00B83C11">
        <w:rPr>
          <w:rFonts w:ascii="Times New Roman" w:eastAsia="Times New Roman" w:hAnsi="Times New Roman" w:cs="Times New Roman"/>
          <w:color w:val="1C283D"/>
          <w:sz w:val="24"/>
          <w:szCs w:val="24"/>
          <w:lang w:eastAsia="tr-TR"/>
        </w:rPr>
        <w:t> (1) İşlem sertifikasında, hizmet sağlayıcıya ait bilgiler ve hizmet sağlayıcı adına işlem yapmaya kimin yetkili olduğu hususuna yer verilir.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Muhatabın elektronik tebligatı alma usulü</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12 –</w:t>
      </w:r>
      <w:r w:rsidRPr="00B83C11">
        <w:rPr>
          <w:rFonts w:ascii="Times New Roman" w:eastAsia="Times New Roman" w:hAnsi="Times New Roman" w:cs="Times New Roman"/>
          <w:color w:val="1C283D"/>
          <w:sz w:val="24"/>
          <w:szCs w:val="24"/>
          <w:lang w:eastAsia="tr-TR"/>
        </w:rPr>
        <w:t> (1) Muhatap elektronik tebligat hesabına, güvenli elektronik imzasını kullanarak veya hizmet sağlayıcı tarafından verilen parola ve şifre ile birlikte telefonuna kısa mesajla gelen tek kullanımlık şifre vasıtasıyla erişir.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(2) Hizmet sağlayıcı, elektronik tebligatı sadece bu tebliği almaya yetkili olan kişiye ulaştırmayı garanti eder. Tebliği almaya yetkili kişinin, kimlik doğrulaması hizmet sağlayıcı tarafından yapılır.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(3) Vekile veya kanuni temsilciye yapılacak elektronik tebligatlarda, Kanun hükümlerine uygun olarak ikinci fıkra hükümleri uyarınca işlem yapılır.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Elektronik tebligat hizmetinin kullanıma kapatılması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13 –</w:t>
      </w:r>
      <w:r w:rsidRPr="00B83C11">
        <w:rPr>
          <w:rFonts w:ascii="Times New Roman" w:eastAsia="Times New Roman" w:hAnsi="Times New Roman" w:cs="Times New Roman"/>
          <w:color w:val="1C283D"/>
          <w:sz w:val="24"/>
          <w:szCs w:val="24"/>
          <w:lang w:eastAsia="tr-TR"/>
        </w:rPr>
        <w:t> (1) İsteğe bağlı olarak elektronik tebligat hizmetinden yararlanan muhataplar yönünden elektronik tebligat hizmetinin kullanıma kapatılmasında, 25/8/2011 tarihli ve 28036 sayılı Resmî Gazete’de yayımlanan Kayıtlı Elektronik Posta Sistemine İlişkin Usul ve Esaslar Hakkında Yönetmeliğin kayıtlı elektronik posta hesabının kullanıma kapatılmasına ilişkin hükümleri uygulanır.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(2) Kamu kurum ve kuruluşları elektronik tebligat alma hizmetinin kullanıma kapatılması başvurusunu İdareye yazılı olarak iletirler. Yapılan başvuruda, elektronik tebligat adresinin hangi birim adına ve hangi yetkili personel tarafından kullanıldığı da belirtilir.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lastRenderedPageBreak/>
        <w:t>(3) Gerçek kişiler için, hizmetin kullanıma kapatılması başvurusu elektronik imza kullanılarak elektronik ortamda da yapılabilir.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(4) Kullanıma kapatılan elektronik tebligat adresleri, elektronik tebligat hizmeti alanlar listesinden derhal silinir ve elektronik tebligat adresinin kullanıma kapatıldığı an, zaman damgasıyla kayıt altına alınır.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(5) Kullanıma kapatılan elektronik tebligat adresine tebligat gönderimi ve alımı engellenir ancak üç ay süreyle muhatabın erişimine açık tutulur.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(6) Hizmet sağlayıcı, elektronik imza kullanılarak hizmetin kullanıma kapatılması başvurusu yapıldığı hallerde derhal, fiziki başvurularda beş iş günü içinde muhatabın elektronik tebligat adresine elektronik tebligat mesajı gönderilmesini engeller.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(7) Elektronik tebligat yapılması zorunlu olan muhataplar, hizmet sağlayıcılarını değiştirebilirler, ancak elektronik tebligat hizmetinin kullanıma kapatılması için başvuruda bulunamazlar.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(8) Ölüm, ceza infaz kurumuna girme, askerlik hizmeti gibi sebeplerle elektronik tebligat hizmetinden yararlanma imkanı ortadan kalkmış ancak tebligat çıkarmaya yetkili merciler nezdindeki işlemlerinde elektronik tebligat adresini bildirmiş olan muhatabın, elektronik tebligat adreslerinin kullanıma kapatılması veya askıya alınması işlemi ilgili kurumlar ile İdarenin sistemi arasında sağlanacak entegrasyon çerçevesinde otomatik olarak yapılabilir. Tüzel kişiliğin sona ermesi ve benzeri sebeplerle elektronik tebligat hizmetinden yararlanma imkanı ortadan kalkmış olan tüzel kişi muhatabın, elektronik tebligat adresinin kullanıma kapatılması konusunda da bu fıkra hükümleri uygulanır.</w:t>
      </w:r>
    </w:p>
    <w:p w:rsidR="00B83C11" w:rsidRPr="00B83C11" w:rsidRDefault="00B83C11" w:rsidP="00B83C11">
      <w:pPr>
        <w:shd w:val="clear" w:color="auto" w:fill="FFFFFF"/>
        <w:spacing w:before="56" w:after="100" w:afterAutospacing="1" w:line="240" w:lineRule="atLeast"/>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ÜÇÜNCÜ BÖLÜM</w:t>
      </w:r>
    </w:p>
    <w:p w:rsidR="00B83C11" w:rsidRPr="00B83C11" w:rsidRDefault="00B83C11" w:rsidP="00B83C11">
      <w:pPr>
        <w:shd w:val="clear" w:color="auto" w:fill="FFFFFF"/>
        <w:spacing w:before="100" w:beforeAutospacing="1" w:after="100" w:afterAutospacing="1" w:line="240" w:lineRule="atLeast"/>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Elektronik Tebligat Hizmetiyle İlgili İdarenin ve Diğer Hizmet Sağlayıcıların Görev,</w:t>
      </w:r>
    </w:p>
    <w:p w:rsidR="00B83C11" w:rsidRPr="00B83C11" w:rsidRDefault="00B83C11" w:rsidP="00B83C11">
      <w:pPr>
        <w:shd w:val="clear" w:color="auto" w:fill="FFFFFF"/>
        <w:spacing w:before="100" w:beforeAutospacing="1" w:after="56" w:line="240" w:lineRule="atLeast"/>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Yetki ve Sorumlulukları</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Elektronik tebligat hizmetiyle ilgili görev, yetki ve sorumluluklar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14 –</w:t>
      </w:r>
      <w:r w:rsidRPr="00B83C11">
        <w:rPr>
          <w:rFonts w:ascii="Times New Roman" w:eastAsia="Times New Roman" w:hAnsi="Times New Roman" w:cs="Times New Roman"/>
          <w:color w:val="1C283D"/>
          <w:sz w:val="24"/>
          <w:szCs w:val="24"/>
          <w:lang w:eastAsia="tr-TR"/>
        </w:rPr>
        <w:t> (1) İdare, Kanunun elektronik tebligata ilişkin hükümlerine ve bu Yönetmeliğe uygun olarak tebligatı çıkaran merciler tarafından iletilen elektronik tebligatları, kayıtlı elektronik posta sistemi vasıtasıyla muhataba ulaştırır. Ancak, muhatap elektronik tebligat adresini İdare dışında diğer bir hizmet sağlayıcıdan almış ise İdarenin sorumluluğu, kendine ulaşan elektronik tebligat mesajını zaman damgasıyla ilişkilendirerek ilgili hizmet sağlayıcının sunucusuna ilettiği anda sona erer.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(2) İdare ve diğer hizmet sağlayıcılar, elektronik tebligat hizmetine ilişkin olay kayıtlarını mevzuatta belirlenen süreler içinde saklamakla yükümlüdür.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(3) Mevzuatta yer alan istisnalar saklı kalmak kaydıyla tebligat içeriğinin muhatap haricindeki kişilerce görülememesi için hizmet sağlayıcılar ile tebligat çıkarmaya yetkili merciler tarafından gerekli tedbirler alınır.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(4) İdare ve diğer hizmet sağlayıcılar, elektronik tebligat hizmetini yürütmek için kendilerine bildirilen verileri, elektronik tebligat hizmeti haricinde herhangi bir maksatla kullanamaz ve üçüncü kişilerle paylaşamaz. İdare ve diğer hizmet sağlayıcılar, bu verilerin güvenli bir şekilde saklanmasından münhasıran sorumlu olup, mevzuat gereğince saklanmasına ihtiyaç kalmayan verileri imha eder.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(5) Elektronik tebligat hizmeti sağlama sözleşmesinin yapılması, verilerin üçüncü kişilere nakline muhatabın rıza göstermesi şartına bağlanamaz. Elektronik ortamda tebliğ edilen evrakın aslı veya içeriğinin üçüncü kişilere verilmesi konusunda anlaşma yapılamaz.</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lastRenderedPageBreak/>
        <w:t>(6) İdare ve diğer hizmet sağlayıcılar, elektronik tebligatları muhatabın elektronik tebligat adresine ulaştırmak üzere teslim almak, istendiğinde saklama süresi içinde erişime hazır halde bulundurmakla yükümlüdür.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(7) İdare ve diğer hizmet sağlayıcılar, elektronik tebligat mesajını, tebligatı çıkaran merci tarafından iletilmesi tarihinden bir gün sonra başlamak üzere iki ay süresince erişime hazır tutar. Muhatap ile hizmet sağlayıcı arasında aksine bir sözleşme yok ise bu sürenin sonunda elektronik tebligata konu içerik silinir.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(8) Elektronik tebligat hizmetinin yerine getirilmesi esnasında görev alan kişilerin sorumluluğuyla ilgili olarak Kanun hükümleri uygulanır.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(9) İdare ve diğer hizmet sağlayıcılar, engelli kişilerin elektronik tebligat hizmetinden yararlanabilmeleri için mümkün olan çalışmaları yapar.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(10) Kendisine zorunlu olarak elektronik yolla tebligat yapılması gereken ancak elektronik tebligat adresi edinmeyen muhatapların MERSİS’te kayıtlı olan tebligat adreslerine, elektronik tebligat adresi edinmeleri için başvuruda bulunmaları konusunda MERSİS’ten sorumlu kurum tarafından bildirim yapılır.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Elektronik tebligat hizmetlerinin ücretlendirilmesi</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15 –</w:t>
      </w:r>
      <w:r w:rsidRPr="00B83C11">
        <w:rPr>
          <w:rFonts w:ascii="Times New Roman" w:eastAsia="Times New Roman" w:hAnsi="Times New Roman" w:cs="Times New Roman"/>
          <w:color w:val="1C283D"/>
          <w:sz w:val="24"/>
          <w:szCs w:val="24"/>
          <w:lang w:eastAsia="tr-TR"/>
        </w:rPr>
        <w:t> (1) İdare, bu Yönetmelikte sayılan hizmetlerin karşılığında alacağı bedele ilişkin ücret tarifesini Kanun hükümleri çerçevesinde belirleyerek resmî internet sayfasında yayımlar.</w:t>
      </w:r>
    </w:p>
    <w:p w:rsidR="00B83C11" w:rsidRPr="00B83C11" w:rsidRDefault="00B83C11" w:rsidP="00B83C11">
      <w:pPr>
        <w:shd w:val="clear" w:color="auto" w:fill="FFFFFF"/>
        <w:spacing w:before="100" w:beforeAutospacing="1" w:after="100" w:afterAutospacing="1" w:line="240" w:lineRule="atLeast"/>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DÖRDÜNCÜ BÖLÜM</w:t>
      </w:r>
    </w:p>
    <w:p w:rsidR="00B83C11" w:rsidRPr="00B83C11" w:rsidRDefault="00B83C11" w:rsidP="00B83C11">
      <w:pPr>
        <w:shd w:val="clear" w:color="auto" w:fill="FFFFFF"/>
        <w:spacing w:before="100" w:beforeAutospacing="1" w:after="56" w:line="240" w:lineRule="atLeast"/>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color w:val="1C283D"/>
          <w:sz w:val="24"/>
          <w:szCs w:val="24"/>
          <w:lang w:eastAsia="tr-TR"/>
        </w:rPr>
        <w:t>Çeşitli ve Son Hükümler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Uygulanacak hükümler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16 –</w:t>
      </w:r>
      <w:r w:rsidRPr="00B83C11">
        <w:rPr>
          <w:rFonts w:ascii="Times New Roman" w:eastAsia="Times New Roman" w:hAnsi="Times New Roman" w:cs="Times New Roman"/>
          <w:color w:val="1C283D"/>
          <w:sz w:val="24"/>
          <w:szCs w:val="24"/>
          <w:lang w:eastAsia="tr-TR"/>
        </w:rPr>
        <w:t> (1) Bu Yönetmelikte hüküm bulunmayan hallerde niteliğine uygun düştüğü ölçüde 25/1/2012 tarihli ve 28184 sayılı Resmî Gazete’de yayımlanan Tebligat Kanununun Uygulanmasına Dair Yönetmelik ile Kayıtlı Elektronik Posta Sistemine İlişkin Usul ve Esaslar Hakkında Yönetmelik hükümleri uygulanır.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Yürürlük</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17 –</w:t>
      </w:r>
      <w:r w:rsidRPr="00B83C11">
        <w:rPr>
          <w:rFonts w:ascii="Times New Roman" w:eastAsia="Times New Roman" w:hAnsi="Times New Roman" w:cs="Times New Roman"/>
          <w:color w:val="1C283D"/>
          <w:sz w:val="24"/>
          <w:szCs w:val="24"/>
          <w:lang w:eastAsia="tr-TR"/>
        </w:rPr>
        <w:t> (1) Bu Yönetmeliğin 7 nci maddesinin birinci fıkrasının birinci cümlesi, ikinci ve üçüncü fıkrası ile 13 üncü maddesinin yedinci fıkrası ve 14 üncü maddesinin onuncu fıkrası 19/1/2013 tarihinde, diğer hükümleri yayımı tarihinde yürürlüğe girer.</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Yürütme</w:t>
      </w:r>
    </w:p>
    <w:p w:rsidR="00B83C11" w:rsidRPr="00B83C11" w:rsidRDefault="00B83C11" w:rsidP="00B83C11">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1C283D"/>
          <w:sz w:val="24"/>
          <w:szCs w:val="24"/>
          <w:lang w:eastAsia="tr-TR"/>
        </w:rPr>
      </w:pPr>
      <w:r w:rsidRPr="00B83C11">
        <w:rPr>
          <w:rFonts w:ascii="Times New Roman" w:eastAsia="Times New Roman" w:hAnsi="Times New Roman" w:cs="Times New Roman"/>
          <w:b/>
          <w:bCs/>
          <w:color w:val="1C283D"/>
          <w:sz w:val="24"/>
          <w:szCs w:val="24"/>
          <w:lang w:eastAsia="tr-TR"/>
        </w:rPr>
        <w:t>MADDE 18 –</w:t>
      </w:r>
      <w:r w:rsidRPr="00B83C11">
        <w:rPr>
          <w:rFonts w:ascii="Times New Roman" w:eastAsia="Times New Roman" w:hAnsi="Times New Roman" w:cs="Times New Roman"/>
          <w:color w:val="1C283D"/>
          <w:sz w:val="24"/>
          <w:szCs w:val="24"/>
          <w:lang w:eastAsia="tr-TR"/>
        </w:rPr>
        <w:t> (1) Bu Yönetmelik hükümlerini Adalet Bakanı yürütür.</w:t>
      </w:r>
    </w:p>
    <w:p w:rsidR="005F7BCF" w:rsidRPr="00B83C11" w:rsidRDefault="005F7BCF" w:rsidP="00B83C11">
      <w:pPr>
        <w:jc w:val="both"/>
        <w:rPr>
          <w:rFonts w:ascii="Times New Roman" w:hAnsi="Times New Roman" w:cs="Times New Roman"/>
          <w:sz w:val="24"/>
          <w:szCs w:val="24"/>
        </w:rPr>
      </w:pPr>
    </w:p>
    <w:p w:rsidR="005F7BCF" w:rsidRPr="00B83C11" w:rsidRDefault="005F7BCF" w:rsidP="00B83C11">
      <w:pPr>
        <w:jc w:val="both"/>
        <w:rPr>
          <w:rFonts w:ascii="Times New Roman" w:hAnsi="Times New Roman" w:cs="Times New Roman"/>
          <w:sz w:val="24"/>
          <w:szCs w:val="24"/>
        </w:rPr>
      </w:pPr>
    </w:p>
    <w:sectPr w:rsidR="005F7BCF" w:rsidRPr="00B83C11"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B85" w:rsidRDefault="00875B85" w:rsidP="007F3328">
      <w:pPr>
        <w:spacing w:after="0" w:line="240" w:lineRule="auto"/>
      </w:pPr>
      <w:r>
        <w:separator/>
      </w:r>
    </w:p>
  </w:endnote>
  <w:endnote w:type="continuationSeparator" w:id="1">
    <w:p w:rsidR="00875B85" w:rsidRDefault="00875B85"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6B083A"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B76A0F">
              <w:rPr>
                <w:bCs/>
                <w:i/>
                <w:noProof/>
                <w:sz w:val="20"/>
                <w:szCs w:val="20"/>
              </w:rPr>
              <w:t>6</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B76A0F">
              <w:rPr>
                <w:bCs/>
                <w:i/>
                <w:noProof/>
                <w:sz w:val="20"/>
                <w:szCs w:val="20"/>
              </w:rPr>
              <w:t>7</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B85" w:rsidRDefault="00875B85" w:rsidP="007F3328">
      <w:pPr>
        <w:spacing w:after="0" w:line="240" w:lineRule="auto"/>
      </w:pPr>
      <w:r>
        <w:separator/>
      </w:r>
    </w:p>
  </w:footnote>
  <w:footnote w:type="continuationSeparator" w:id="1">
    <w:p w:rsidR="00875B85" w:rsidRDefault="00875B85"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7745"/>
    <w:rsid w:val="003A1AC9"/>
    <w:rsid w:val="004556F8"/>
    <w:rsid w:val="005F7BCF"/>
    <w:rsid w:val="006B083A"/>
    <w:rsid w:val="007F3328"/>
    <w:rsid w:val="00875B85"/>
    <w:rsid w:val="00905975"/>
    <w:rsid w:val="0094391B"/>
    <w:rsid w:val="00B623D2"/>
    <w:rsid w:val="00B76A0F"/>
    <w:rsid w:val="00B83C11"/>
    <w:rsid w:val="00C301F7"/>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customStyle="1" w:styleId="2-ortabaslk">
    <w:name w:val="2-ortabaslk"/>
    <w:basedOn w:val="Normal"/>
    <w:rsid w:val="00B83C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83C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3C11"/>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059671790">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2370</Words>
  <Characters>13510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3</cp:revision>
  <dcterms:created xsi:type="dcterms:W3CDTF">2013-08-16T10:34:00Z</dcterms:created>
  <dcterms:modified xsi:type="dcterms:W3CDTF">2014-12-26T12:45:00Z</dcterms:modified>
</cp:coreProperties>
</file>