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Default Extension="docx" ContentType="application/vnd.openxmlformats-officedocument.wordprocessingml.document"/>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50E0" w:rsidRPr="006A69EB" w:rsidRDefault="005350E0" w:rsidP="005350E0">
      <w:pPr>
        <w:spacing w:before="56" w:after="100" w:afterAutospacing="1" w:line="240" w:lineRule="atLeast"/>
        <w:jc w:val="center"/>
        <w:rPr>
          <w:rFonts w:ascii="Times New Roman" w:eastAsia="Times New Roman" w:hAnsi="Times New Roman" w:cs="Times New Roman"/>
          <w:b/>
          <w:sz w:val="24"/>
          <w:szCs w:val="24"/>
          <w:lang w:eastAsia="tr-TR"/>
        </w:rPr>
      </w:pPr>
      <w:r w:rsidRPr="006A69EB">
        <w:rPr>
          <w:rFonts w:ascii="Times New Roman" w:eastAsia="Times New Roman" w:hAnsi="Times New Roman" w:cs="Times New Roman"/>
          <w:b/>
          <w:sz w:val="24"/>
          <w:szCs w:val="24"/>
          <w:lang w:eastAsia="tr-TR"/>
        </w:rPr>
        <w:t xml:space="preserve">TOPLU İŞ SÖZLEŞMESİNDE ARABULUCUYA VE </w:t>
      </w:r>
    </w:p>
    <w:p w:rsidR="005350E0" w:rsidRPr="006A69EB" w:rsidRDefault="005350E0" w:rsidP="005350E0">
      <w:pPr>
        <w:spacing w:before="100" w:beforeAutospacing="1" w:after="283" w:line="240" w:lineRule="atLeast"/>
        <w:jc w:val="center"/>
        <w:rPr>
          <w:rFonts w:ascii="Times New Roman" w:eastAsia="Times New Roman" w:hAnsi="Times New Roman" w:cs="Times New Roman"/>
          <w:b/>
          <w:sz w:val="24"/>
          <w:szCs w:val="24"/>
          <w:lang w:eastAsia="tr-TR"/>
        </w:rPr>
      </w:pPr>
      <w:r w:rsidRPr="006A69EB">
        <w:rPr>
          <w:rFonts w:ascii="Times New Roman" w:eastAsia="Times New Roman" w:hAnsi="Times New Roman" w:cs="Times New Roman"/>
          <w:b/>
          <w:sz w:val="24"/>
          <w:szCs w:val="24"/>
          <w:lang w:eastAsia="tr-TR"/>
        </w:rPr>
        <w:t>HAKEME BAŞVURMA YÖNETMELİĞİ</w:t>
      </w:r>
    </w:p>
    <w:p w:rsidR="005350E0" w:rsidRPr="006A69EB" w:rsidRDefault="005350E0" w:rsidP="005350E0">
      <w:pPr>
        <w:spacing w:after="0" w:line="240" w:lineRule="auto"/>
        <w:jc w:val="center"/>
        <w:rPr>
          <w:rFonts w:ascii="Times New Roman" w:eastAsia="Times New Roman" w:hAnsi="Times New Roman" w:cs="Times New Roman"/>
          <w:b/>
          <w:sz w:val="24"/>
          <w:szCs w:val="24"/>
          <w:lang w:eastAsia="tr-TR"/>
        </w:rPr>
      </w:pPr>
      <w:r w:rsidRPr="006A69EB">
        <w:rPr>
          <w:rFonts w:ascii="Times New Roman" w:eastAsia="Times New Roman" w:hAnsi="Times New Roman" w:cs="Times New Roman"/>
          <w:b/>
          <w:sz w:val="24"/>
          <w:szCs w:val="24"/>
          <w:lang w:eastAsia="tr-TR"/>
        </w:rPr>
        <w:t xml:space="preserve">Yayımlandığı Resmi Gazete Tarihi/Sayısı:07.12.2013/28844    </w:t>
      </w:r>
    </w:p>
    <w:p w:rsidR="005350E0" w:rsidRPr="006A69EB" w:rsidRDefault="005350E0" w:rsidP="005350E0">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BİRİNCİ BÖLÜM</w:t>
      </w:r>
    </w:p>
    <w:p w:rsidR="005350E0" w:rsidRPr="006A69EB" w:rsidRDefault="005350E0" w:rsidP="005350E0">
      <w:pPr>
        <w:spacing w:before="100" w:beforeAutospacing="1" w:after="85" w:line="240" w:lineRule="atLeast"/>
        <w:jc w:val="center"/>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Amaç, Kapsam, Dayanak ve Tanımlar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Amaç ve kapsam</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1 –</w:t>
      </w:r>
      <w:r w:rsidRPr="006A69EB">
        <w:rPr>
          <w:rFonts w:ascii="Times New Roman" w:eastAsia="Times New Roman" w:hAnsi="Times New Roman" w:cs="Times New Roman"/>
          <w:sz w:val="24"/>
          <w:szCs w:val="24"/>
          <w:lang w:eastAsia="tr-TR"/>
        </w:rPr>
        <w:t> (1) Bu Yönetmeliğin amacı, Yüksek Hakem Kurulunun çalışma usul ve esaslarını; Yüksek Hakem Kurulunun başkan ve üyeleri ile bu Kurulda görevlendirilecek uzman ve raportörlere ödenecek tazminatları; bilirkişi ve tanıklara verilecek ücretleri ve toplu çıkar uyuşmazlıklarında özel hakem incelemesinde uygulanacak hükümleri; arabulucuların nitelikleri, seçimi, ücretleri, görevlendirilmeleri ve çalışmalarında uygulanacak usul ile ilgili hususlarıdüzenlemektir.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Dayanak</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2 –</w:t>
      </w:r>
      <w:r w:rsidRPr="006A69EB">
        <w:rPr>
          <w:rFonts w:ascii="Times New Roman" w:eastAsia="Times New Roman" w:hAnsi="Times New Roman" w:cs="Times New Roman"/>
          <w:sz w:val="24"/>
          <w:szCs w:val="24"/>
          <w:lang w:eastAsia="tr-TR"/>
        </w:rPr>
        <w:t> (1) Bu Yönetmelik, 18/10/2012 tarihli ve 6356 sayılı Sendikalar ve Toplu İş Sözleşmesi Kanununun 57 nci maddesine dayanılarak hazırlanmıştır.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Tanımlar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3 –</w:t>
      </w:r>
      <w:r w:rsidRPr="006A69EB">
        <w:rPr>
          <w:rFonts w:ascii="Times New Roman" w:eastAsia="Times New Roman" w:hAnsi="Times New Roman" w:cs="Times New Roman"/>
          <w:sz w:val="24"/>
          <w:szCs w:val="24"/>
          <w:lang w:eastAsia="tr-TR"/>
        </w:rPr>
        <w:t> (1) Bu Yönetmelikte geçen;</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a) Arabulucu: Toplu görüşmelerin uyuşmazlıkla sonuçlanması üzerine, Seçici Kurulca belirlenerek ResmîGazete’de yayımlanan listeden görevli makamca görevlendirilen ve tarafların anlaşmaya varması için her türlü çabayıharcayarak ilgililere önerilerde bulunan kişiyi,</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b) Bakanlık: Çalışma ve Sosyal Güvenlik Bakanlığını,</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c) Emanetler hesabı: 30/12/2006 tarihli ve 26392 üçüncü mükerrer sayılı Resmî Gazete’de yayımlanan Merkezi Yönetim Muhasebe Yönetmeliğinde tanımlanan hesabı,</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ç) Genel Müdürlük: Çalışma Genel Müdürlüğünü,</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d) Genel Sekreter: Yüksek Hakem Kurulu Genel Sekreterini,</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e) Gider payı: Görevli makamca belirlenen arabulucu ücretinden yüzde yedi oranında kesilen tutarı,</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f) Görevli makam: İşyeri toplu iş sözleşmesi için işyerinin, işletme toplu iş sözleşmesi için işletme merkezinin bağlı bulunduğu Çalışma ve İş Kurumu İl Müdürlüğünü, aynı Çalışma ve İş Kurumu İl Müdürlüğünün yetki alanına giren işyerleri için yapılacak grup toplu iş sözleşmelerinde bu işyerlerinin bağlı bulunduğu Çalışma ve İş Kurumu İl Müdürlüğünü, birden fazla Çalışma ve İş Kurumu İl Müdürlüğünün yetki alanına giren işyerlerini kapsayacak grup toplu iş sözleşmesi için ise Bakanlığı,</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g) Kurul: Yüksek Hakem Kurulunu,</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ğ) Kurul Başkanı: Yüksek Hakem Kurulu Başkanını,</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h) Muhasebe Birimi: Bakanlık Merkez Muhasebe Birimini,</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lastRenderedPageBreak/>
        <w:t>ı) Seçici Kurul: Başvuruları inceleyerek gerekli nitelikleri taşıyanlar arasından arabulucuları belirleyen Kurulu,</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ifade eder.</w:t>
      </w:r>
    </w:p>
    <w:p w:rsidR="005350E0" w:rsidRPr="006A69EB" w:rsidRDefault="005350E0" w:rsidP="006A69EB">
      <w:pPr>
        <w:spacing w:before="85" w:after="100" w:afterAutospacing="1" w:line="240" w:lineRule="atLeast"/>
        <w:jc w:val="center"/>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İKİNCİ BÖLÜM</w:t>
      </w:r>
    </w:p>
    <w:p w:rsidR="005350E0" w:rsidRPr="006A69EB" w:rsidRDefault="005350E0" w:rsidP="006A69EB">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Arabuluculuk Sistemi ve İşleyişi, Arabulucuların Seçimi,</w:t>
      </w:r>
    </w:p>
    <w:p w:rsidR="005350E0" w:rsidRPr="006A69EB" w:rsidRDefault="005350E0" w:rsidP="006A69EB">
      <w:pPr>
        <w:spacing w:before="100" w:beforeAutospacing="1" w:after="113" w:line="240" w:lineRule="atLeast"/>
        <w:jc w:val="center"/>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Görev ve Sorumlulukları</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Arabuluculuk Sistemi ve Genel Müdürlüğün görevleri</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4 – </w:t>
      </w:r>
      <w:r w:rsidRPr="006A69EB">
        <w:rPr>
          <w:rFonts w:ascii="Times New Roman" w:eastAsia="Times New Roman" w:hAnsi="Times New Roman" w:cs="Times New Roman"/>
          <w:sz w:val="24"/>
          <w:szCs w:val="24"/>
          <w:lang w:eastAsia="tr-TR"/>
        </w:rPr>
        <w:t>(1) Arabuluculuk Sistemi; Genel Müdürlük, Seçici Kurul ve arabuluculardan oluşur.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Genel Müdürlük, bu Yönetmelikte belirtilen görevleri yerine getirir; Seçici Kurulun raportörlük hizmetlerini ve diğer büro hizmetlerini yürütür.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Seçici Kurul</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5 –</w:t>
      </w:r>
      <w:r w:rsidRPr="006A69EB">
        <w:rPr>
          <w:rFonts w:ascii="Times New Roman" w:eastAsia="Times New Roman" w:hAnsi="Times New Roman" w:cs="Times New Roman"/>
          <w:sz w:val="24"/>
          <w:szCs w:val="24"/>
          <w:lang w:eastAsia="tr-TR"/>
        </w:rPr>
        <w:t> (1) Arabuluculuk yapabilecek olanlar Seçici Kurulca belirlenir.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Seçici Kurul, Çalışma ve Sosyal Güvenlik Bakanının başkanlığında;</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a) Müsteşar veya müsteşar yardımcısı,</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b) Çalışma Genel Müdürü,</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c) Üniversitelerin iş ve sosyal güvenlik hukuku anabilim dalı ile çalışma ekonomisi ve endüstri ilişkileri bölümüöğretim üyeleri arasından Yükseköğretim Kurulunca seçilen bir üye,</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ç) En çok üyeye sahip ilk iki işçi sendikaları konfederasyonu yönetim kurullarınca seçilen birer üye,</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d) En çok üyeye sahip işveren sendikaları konfederasyonu yönetim kurulunca biri kamu işverenlerinden olmaküzere seçilen iki üye,</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ile oluşur.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(3) Seçimle gelen üyelerin görev süreleri üç yıldır. Bu üyeler yeniden seçilebilir. Her bir üye için iki yedek üye seçilir.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(4) Herhangi bir nedenle görevi sona eren üyenin yerine seçilen üye kalan süreyi tamamlar.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(5) Bakanın toplantıya katılmaması halinde, Seçici Kurula, Müsteşar veya müsteşar yardımcısı başkanlık eder. Seçici Kurul üyelerinin izinli veya mazeretli olmaları halinde, toplantıya bu makama vekâlet edenler ya da yedek üyeler katılır.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Seçici Kurulun toplanması ve kararlar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6 –</w:t>
      </w:r>
      <w:r w:rsidRPr="006A69EB">
        <w:rPr>
          <w:rFonts w:ascii="Times New Roman" w:eastAsia="Times New Roman" w:hAnsi="Times New Roman" w:cs="Times New Roman"/>
          <w:sz w:val="24"/>
          <w:szCs w:val="24"/>
          <w:lang w:eastAsia="tr-TR"/>
        </w:rPr>
        <w:t> (1) Seçici Kurul, Bakanlıkça yapılan çağrı üzerine toplanır. Toplantının yer, gün ve saati, toplantıtarihinden en geç üç iş günü önce üyelere bildirilir.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lastRenderedPageBreak/>
        <w:t>(2) Seçici Kurul, Başkan dışında en az beş üyenin katılımıyla toplanır. Kararlar oy çokluğuyla alınır. Oyların eşitliği halinde, Başkanın bulunduğu taraf çoğunluğu sağlamış sayılır. Kararlar, karar defterine yazılarak Başkan veüyelerce imzalanır.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Arabulucuların nitelikleri</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7 –</w:t>
      </w:r>
      <w:r w:rsidRPr="006A69EB">
        <w:rPr>
          <w:rFonts w:ascii="Times New Roman" w:eastAsia="Times New Roman" w:hAnsi="Times New Roman" w:cs="Times New Roman"/>
          <w:sz w:val="24"/>
          <w:szCs w:val="24"/>
          <w:lang w:eastAsia="tr-TR"/>
        </w:rPr>
        <w:t> (1) Arabulucularda aşağıdaki nitelikler aranır: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a) Türk vatandaşı olmak.</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b) Medeni ve siyasi hakları kullanma ehliyetine sahip olmak.</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c) 14/7/1965 tarihli ve 657 sayılı Devlet Memurları Kanununun 48 inci maddesinin birinci fıkrasının (A) bendinin (5) numaralı alt bendinde öngörülen genel koşulları taşımak.</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ç) Siyasi parti organlarında görevli olmamak.</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d) Sendika şubesi, sendika ve konfederasyonlarda herhangi bir suretle görevli bulunmamak.</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e) Yükseköğretim Kanunu hükümleri saklı kalmak kaydıyla, kamu kurum ve kuruluşlarında görevli bulunmamak.</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f) Hukuk, çalışma ekonomisi ve endüstri ilişkileri, maliye, iktisat ve işletme öğrenimi yapılan en az dört yıllık bir yükseköğretim kurumunu bitirmiş ve işçi-işveren ilişkileri alanında en az beş yıl çalışmış veya diğer yükseköğretim kurumlarını bitirmiş ve kamu kurum ve kuruluşlarında en az on yıl iş hukukuyla ilgili görevlerde çalışmış olmak.</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Arabulucuların seçimi ve ilanı</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8 –</w:t>
      </w:r>
      <w:r w:rsidRPr="006A69EB">
        <w:rPr>
          <w:rFonts w:ascii="Times New Roman" w:eastAsia="Times New Roman" w:hAnsi="Times New Roman" w:cs="Times New Roman"/>
          <w:sz w:val="24"/>
          <w:szCs w:val="24"/>
          <w:lang w:eastAsia="tr-TR"/>
        </w:rPr>
        <w:t> (1) Seçici Kurul, görev yapacak arabulucu sayısı ile görev alanı ve görev alanını kapsayan il veya illeri önceden belirler; bu sayıyı ihtiyaca göre değiştirebilir.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Genel Müdürlük, bu Yönetmelik gereğince arabulucularda aranan nitelikleri, Seçici Kurula yapılacak başvuruların şeklini, son başvuru tarihini ve seçilecek arabulucu sayısını seçim tarihinden en az bir ay önce Bakanlık internet sitesinden ilan eder.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(3) Seçici Kurul, başvuruları inceler ve Aralık ayı içinde arabulucu seçimini yapar. Seçilen arabulucuların listesi Resmî Gazete’de ilan edilir ve Çalışma ve İş Kurumu İl Müdürlüklerine bildirilir. Arabulucular, seçildikleri ayın son işgünü göreve başlamış sayılır.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(4) Arabulucular, tercihleri dikkate alınarak en çok iki görev alanı il ya da iller için seçilir. Ancak istek olmayan görev alanı il ya da iller için diğer görev alanlarına yapılan başvurular arasından Seçici Kurulca resen görevlendirme yapılabilir.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(5) Arabulucuların görev süresi üç yıldır; istekleri halinde yeniden seçilmeleri mümkündür.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Arabulucuların görevlendirilmesi ve çalışma esasları</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9 –</w:t>
      </w:r>
      <w:r w:rsidRPr="006A69EB">
        <w:rPr>
          <w:rFonts w:ascii="Times New Roman" w:eastAsia="Times New Roman" w:hAnsi="Times New Roman" w:cs="Times New Roman"/>
          <w:sz w:val="24"/>
          <w:szCs w:val="24"/>
          <w:lang w:eastAsia="tr-TR"/>
        </w:rPr>
        <w:t> (1) Görevli makam; her iki tarafın arabulucuyu belirlemek için yapılan toplantıya gelmesi halindeüzerinde anlaşılan arabulucuyu, her iki tarafın anlaşamaması veya taraflardan biri ya da her iki tarafın toplantıya gelmemesi halinde, 8 inci maddenin üçüncü fıkrasında belirtilen listeden bir arabulucuyu sırasıyla görevlendirir.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lastRenderedPageBreak/>
        <w:t>(2) Arabuluculuk görevi, görevli makamca arabulucuya yapılacak bildirim tarihinden itibaren başlar ve on beşgün sürer. Bu süre tarafların anlaşması ile en çok altı iş günü uzatılabilir ve görevli makama bildirilir.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(3) Arabulucu, tarafları ayrı ayrı veya birlikte toplantıya çağırmak üzere bir davet yazısı düzenler ve taraflara tebliğ eder.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(4) Arabulucu, tarafları görevli makamın bulunduğu Çalışma ve İş Kurumu İl Müdürlüğünde ya da tarafsız bir yerde bir araya getirmeye özen gösterir.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(5) Arabulucu, görev süresi içerisinde tarafları mümkün olan en fazla sayıda bir araya getirmeye gayret eder. İlk toplantıda belirlenen uyuşmazlık konuları üzerinde her iki tarafın taleplerine uygun çözüm önerileri geliştirir ve taraflara sunar. Yapılan her toplantı sonucunda üzerinde anlaşma sağlanan veya sağlanamayan hususlar toplantıya katılanlarca düzenlenecek bir tutanakla açıkça belirtilir.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(6) Arabulucu, Ek-1’de yer alan Arabulucu Raporunu düzenler ve beşinci fıkrada belirtilen tutanaklarla birlikteüç iş günü içinde görevli makama tevdi eder.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(7) Görev alanı ilde, görevden ayrılma ya da herhangi bir mazeret dolayısıyla görev yapacak arabulucu kalmamışsa, durum Çalışma ve İş Kurumu İl Müdürlüğünce derhal Bakanlığa bildirilir. Bakanlık, üç iş günü içerisinde resen görevlendirme yapar.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(8) Niteliklerini kaybedenlerin arabuluculuğu kendiliğinden sona erer. Gerekli nitelikleri taşımadığı halde veya niteliklerini kaybetmesine rağmen arabulucu olarak görevlendirilenler ise, tebliğ tarihinden itibaren üç iş günü içinde görevi iade etmek üzere görevli makama başvurur.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Arabulucuların görevlendirilemeyeceği uyuşmazlıklar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10 –</w:t>
      </w:r>
      <w:r w:rsidRPr="006A69EB">
        <w:rPr>
          <w:rFonts w:ascii="Times New Roman" w:eastAsia="Times New Roman" w:hAnsi="Times New Roman" w:cs="Times New Roman"/>
          <w:sz w:val="24"/>
          <w:szCs w:val="24"/>
          <w:lang w:eastAsia="tr-TR"/>
        </w:rPr>
        <w:t> (1) Toplu çıkar uyuşmazlıklarında, işveren veya işverene ait işyerlerinde görevli olanlar arabuluculuk yapamaz.</w:t>
      </w:r>
    </w:p>
    <w:p w:rsidR="005350E0" w:rsidRPr="006A69EB" w:rsidRDefault="005350E0" w:rsidP="006A69EB">
      <w:pPr>
        <w:spacing w:before="85" w:after="100" w:afterAutospacing="1" w:line="240" w:lineRule="atLeast"/>
        <w:jc w:val="center"/>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ÜÇÜNCÜ BÖLÜM</w:t>
      </w:r>
    </w:p>
    <w:p w:rsidR="005350E0" w:rsidRPr="006A69EB" w:rsidRDefault="005350E0" w:rsidP="006A69EB">
      <w:pPr>
        <w:spacing w:before="100" w:beforeAutospacing="1" w:after="113" w:line="240" w:lineRule="atLeast"/>
        <w:jc w:val="center"/>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Arabulucu Ücretinin Tespiti ve Ödenmesi ile Hesapların Kullanılması</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Arabulucu ücretinin tespiti ve ödenmesi</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11 –</w:t>
      </w:r>
      <w:r w:rsidRPr="006A69EB">
        <w:rPr>
          <w:rFonts w:ascii="Times New Roman" w:eastAsia="Times New Roman" w:hAnsi="Times New Roman" w:cs="Times New Roman"/>
          <w:sz w:val="24"/>
          <w:szCs w:val="24"/>
          <w:lang w:eastAsia="tr-TR"/>
        </w:rPr>
        <w:t> (1) Arabulucu ücreti; görevli makam tarafından, Ek-2’de yer alan Arabulucu Ücretleri Cetvelinde toplu iş sözleşmesi kapsamındaki işyeri veya işyerlerinde çalışan işçi sayısına göre belirlenen gösterge rakamının, memur aylık katsayısıyla çarpımı suretiyle hesaplanır.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Görevlendirilen arabulucu ve belirlenen ücret, görevli makamca arabulucuya, taraflara ve Bakanlığa bildirilir.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(3) Taraflar, bu maddenin ikinci fıkrasına göre yapılan bildirimden itibaren en geç üç iş günü içinde, belirlenenücreti Muhasebe Biriminin ya da illerde defterdarlık muhasebe müdürlüğünün, ilçelerde ise mal müdürlüğünün kasa veya banka hesabına eşit olarak yatırarak ödeme bilgilerini Genel Müdürlüğe gönderir.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(4) Muhasebe Birimi, görevli makamca belirlenen ücretten yüzde yedi oranında gider payı keserek emanetler hesabına aktarır ve üçüncü fıkraya göre yatırılan tutardan hesaplanan gider payı ile geriye kalan tutarı ayrı ayrı izler.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lastRenderedPageBreak/>
        <w:t>(5) Görevli makamca arabulucunun görevinin sona erdiğinin Bakanlığa bildirilmesi üzerine, tarafların hesaba yatırdıkları tutardan vergiler ve gider payı kesildikten sonra kalan miktar arabulucunun hesabına aktarılır.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(6) İkamet ettiği il dışında görevlendirilen arabulucuya, 10/2/1954 tarihli ve 6245 sayılı Harcırah Kanunu hükümlerine göre harcırah ödenir.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(7) Kanuni grev kararı alınan bir uyuşmazlıkta Çalışma ve Sosyal Güvenlik Bakanının görevlendireceği arabulucunun ücreti, Bakanlıkça gider payı hesabından Ek-2’de yer alan Arabulucu Ücretleri Cetvelindeki göstergeye göre ödenir.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Emanetler hesabının kullanılması</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12 –</w:t>
      </w:r>
      <w:r w:rsidRPr="006A69EB">
        <w:rPr>
          <w:rFonts w:ascii="Times New Roman" w:eastAsia="Times New Roman" w:hAnsi="Times New Roman" w:cs="Times New Roman"/>
          <w:sz w:val="24"/>
          <w:szCs w:val="24"/>
          <w:lang w:eastAsia="tr-TR"/>
        </w:rPr>
        <w:t> (1) Muhasebe Biriminin banka hesabından emanetler hesabına aktarılan gider payına ilişkin tutar, 11 inci maddenin altıncı ve yedinci fıkralarında belirtilen ödemelerin karşılanmasında kullanılır.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Emanetler hesabından yapılacak harcamalar; Çalışma Genel Müdürü, ilgili Çalışma Genel Müdür Yardımcısıve Daire Başkanından ikisinin imzası ile Muhasebe Birimine verilecek talimatla gerçekleştirilir.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(3) Ödemeler, harcamanın çeşidine göre Merkezi Yönetim Harcama Belgeleri Yönetmeliğinde belirtilen belgelere göre yapılır.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(4) Muhasebe Birimi tarafından bu Yönetmelik gereğince emanetler hesabına alınan tutara ve bu hesaptan yapılan harcamalara ilişkin bilgiler aylık olarak Bakanlığa bildirilir.</w:t>
      </w:r>
    </w:p>
    <w:p w:rsidR="005350E0" w:rsidRPr="006A69EB" w:rsidRDefault="005350E0" w:rsidP="006A69EB">
      <w:pPr>
        <w:spacing w:before="85" w:after="100" w:afterAutospacing="1" w:line="240" w:lineRule="atLeast"/>
        <w:jc w:val="center"/>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DÖRDÜNCÜ BÖLÜM</w:t>
      </w:r>
    </w:p>
    <w:p w:rsidR="005350E0" w:rsidRPr="006A69EB" w:rsidRDefault="005350E0" w:rsidP="006A69EB">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Yüksek Hakem Kurulunun Çalışma Usul ve Esasları ile</w:t>
      </w:r>
    </w:p>
    <w:p w:rsidR="005350E0" w:rsidRPr="006A69EB" w:rsidRDefault="005350E0" w:rsidP="006A69EB">
      <w:pPr>
        <w:spacing w:before="100" w:beforeAutospacing="1" w:after="85" w:line="240" w:lineRule="atLeast"/>
        <w:jc w:val="center"/>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Ödenecek Tazminat ve Ücretler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Genel Sekreterlik</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13 –</w:t>
      </w:r>
      <w:r w:rsidRPr="006A69EB">
        <w:rPr>
          <w:rFonts w:ascii="Times New Roman" w:eastAsia="Times New Roman" w:hAnsi="Times New Roman" w:cs="Times New Roman"/>
          <w:sz w:val="24"/>
          <w:szCs w:val="24"/>
          <w:lang w:eastAsia="tr-TR"/>
        </w:rPr>
        <w:t> (1) Kurulun yazışma ve uzmanlık hizmetleri, Kurul Başkanına bağlı Genel Sekreterlikçe yürütülür. Genel Sekreter, Kurul Başkanının önerisi üzerine genel usullere göre atanır.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Uzman ve raportör talepleri Kurul tarafından Başbakanlığa bildirilir. Başbakanlık, yeteri kadar uzman veraportör belirleyerek Kurula atar veya görevlendirir.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(3) İşçi ve işveren kuruluşlarında çalışmakta olanlar, Kurulda uzman ve raportör olarak görevlendirilemez.</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Genel Sekreterin görev ve sorumluluğu</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14 – </w:t>
      </w:r>
      <w:r w:rsidRPr="006A69EB">
        <w:rPr>
          <w:rFonts w:ascii="Times New Roman" w:eastAsia="Times New Roman" w:hAnsi="Times New Roman" w:cs="Times New Roman"/>
          <w:sz w:val="24"/>
          <w:szCs w:val="24"/>
          <w:lang w:eastAsia="tr-TR"/>
        </w:rPr>
        <w:t>(1) Genel Sekreter, bu Yönetmelikte belirtilen görevleri yerine getirir; başvuruların uzman veraportörlerce süresi içerisinde incelenmesini, kararların ve yazıların taraflara ve ilgililere geciktirilmeksizin gönderilmesini sağlar; personelin devam ve çalışmasını izler. Ayrıca, Kurul Başkanının görev vermesi halinde uzman veraportör olarak inceleme yapar.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Genel Sekreter, görevlerinden dolayı Kurul Başkanına karşı sorumludur.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İmza yetkisi</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lastRenderedPageBreak/>
        <w:t>MADDE 15 –</w:t>
      </w:r>
      <w:r w:rsidRPr="006A69EB">
        <w:rPr>
          <w:rFonts w:ascii="Times New Roman" w:eastAsia="Times New Roman" w:hAnsi="Times New Roman" w:cs="Times New Roman"/>
          <w:sz w:val="24"/>
          <w:szCs w:val="24"/>
          <w:lang w:eastAsia="tr-TR"/>
        </w:rPr>
        <w:t> (1) Kuruldan taraflara, ilgili makamlara ve kişilere tebliğ edilecek veya gönderilecek yazılar Kurul Başkanınca, yetki vermesi halinde ise Genel Sekreterce imzalanır.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İdari ve Mali İşler Bürosu</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16 –</w:t>
      </w:r>
      <w:r w:rsidRPr="006A69EB">
        <w:rPr>
          <w:rFonts w:ascii="Times New Roman" w:eastAsia="Times New Roman" w:hAnsi="Times New Roman" w:cs="Times New Roman"/>
          <w:sz w:val="24"/>
          <w:szCs w:val="24"/>
          <w:lang w:eastAsia="tr-TR"/>
        </w:rPr>
        <w:t> (1) Kurulun yazı, kayıt, dosya, arşiv, tazminat ve ücret ödemeleri, Kurulun giderleri ile ilgili gerçekleştirme işlemleri, izin ve diğer büro işleri, İdari ve Mali İşler Bürosunca yürütülür.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Personelin görev ve sorumluluğu</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17 –</w:t>
      </w:r>
      <w:r w:rsidRPr="006A69EB">
        <w:rPr>
          <w:rFonts w:ascii="Times New Roman" w:eastAsia="Times New Roman" w:hAnsi="Times New Roman" w:cs="Times New Roman"/>
          <w:sz w:val="24"/>
          <w:szCs w:val="24"/>
          <w:lang w:eastAsia="tr-TR"/>
        </w:rPr>
        <w:t> (1) Kurulda görevli personel verilen işleri süresi içinde yerine getirmekle yükümlüdür.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Görevliler, Kuruldaki görüşmeler ve tarafların durumlarıyla ilgili bilgileri yetkililer dışında kimseye açıklayamaz. Bu durum, Kuruldaki görevleri sona erdikten sonra da devam eder.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Başvurular üzerine yapılacak işlem ve ön inceleme</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18 –</w:t>
      </w:r>
      <w:r w:rsidRPr="006A69EB">
        <w:rPr>
          <w:rFonts w:ascii="Times New Roman" w:eastAsia="Times New Roman" w:hAnsi="Times New Roman" w:cs="Times New Roman"/>
          <w:sz w:val="24"/>
          <w:szCs w:val="24"/>
          <w:lang w:eastAsia="tr-TR"/>
        </w:rPr>
        <w:t> (1) Kurula yapılan başvurular, Kurul Başkanı veya yetki vermesi halinde Genel Sekreterce ön incelemesi yapılmak üzere; iş yoğunluğu, uyuşmazlığın niteliği, kapsamı, işyeri ve işin özelliği gibi hususlar birlikte değerlendirilerek başvurunun Kurula ulaştığı tarihi takip eden ilk iş günü bir veya birden fazla uzman ve raportöresırasıyla havale edilir. Sıraya uyulmadan yapılan havaleler için gerekçe belirtilir.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Uzman ve raportörler, kendilerine havale edilen başvuruları, ehliyet, yetki, süre ve mevzuat yönünden inceler ve düzenleyecekleri ön inceleme raporunu kendilerine bildirilen toplantı tarihinden en az iki iş günü önce Genel Sekretere teslim eder.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(3) Uzman ve raportörler, talep edildiğinde Genel Sekreter tarafından belirlenen gün ve saatte ön inceleme raporunu Kurula sunar.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(4) Uzman ve raportörler, ön inceleme sonucu başvuruyu esastan incelemeye başlar. Başvurunun esasa geçilmeden reddi halinde gerekçeli kararı hazırlayarak Kurul üyelerinin imzasına sunar.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Gündemin hazırlanması</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19 –</w:t>
      </w:r>
      <w:r w:rsidRPr="006A69EB">
        <w:rPr>
          <w:rFonts w:ascii="Times New Roman" w:eastAsia="Times New Roman" w:hAnsi="Times New Roman" w:cs="Times New Roman"/>
          <w:sz w:val="24"/>
          <w:szCs w:val="24"/>
          <w:lang w:eastAsia="tr-TR"/>
        </w:rPr>
        <w:t> (1) Kurulun gündemi, başvuru sırasına göre Genel Sekreterce hazırlanarak toplantıdan önce Kurul Başkanına sunulur.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Kurul, gündemde değişiklik yapabilir.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Esastan inceleme ve raporun hazırlanması</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20 –</w:t>
      </w:r>
      <w:r w:rsidRPr="006A69EB">
        <w:rPr>
          <w:rFonts w:ascii="Times New Roman" w:eastAsia="Times New Roman" w:hAnsi="Times New Roman" w:cs="Times New Roman"/>
          <w:sz w:val="24"/>
          <w:szCs w:val="24"/>
          <w:lang w:eastAsia="tr-TR"/>
        </w:rPr>
        <w:t> (1) İlk inceleme sonunda, Kurulca başvurunun esastan incelenmesine karar verilirse, belirlenen süre içinde işletmenin ve ülkenin içinde bulunduğu ekonomik durum, geçinme endeksleri, fiilen ödenmekte olanücretler, benzeri işyerlerindeki ücretler, diğer çalışma koşulları ve gelir unsurları, Kurulca karara bağlanan emsal kararlar ile belirlenmiş prensip kararları gibi hususlardan gerekli görülenleri içeren esas rapor, uzman ve raportörlerce hazırlanır.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Hazırlanan rapor, uzman ve raportörlere bildirilen toplantı tarihinden en geç üç iş günü önce Genel Sekretere teslim edilir.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(3) Genel Sekreter tarafından belirlenen gün ve saatte bir veya birden çok uzman ve raportör tarafından esas rapor Kurula sunulur.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lastRenderedPageBreak/>
        <w:t>(4) Kurul, uyuşmazlığı dosya üzerinde inceler. Gerekli görüldüğü durumlarda taraflar ve ilgililerden uyuşmazlıkla ilgili her türlü bilgi ve belgeyi isteyebilir. Taraflar ve diğer bütün ilgililer, Kurulun istediği bilgi ve belgeyi vermekle yükümlüdür.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(5) Kurul, görüşlerini öğrenmek istediği kişileri çağırıp dinler veya bunların görüşlerini yazı ile bildirmelerini ister. Bunlar hakkında ücret ödemelerine ilişkin hükümler hariç olmak üzere 12/1/2011 tarihli ve 6100 sayılı Hukuk Muhakemeleri Kanununun tanıklara ve bilirkişilere ilişkin hükümleri uygulanır. Taraflar da, bilgilendirmek amacıyla Kurulda dinlenmelerini isteyebilir, bilgi ve belge sunabilir.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Kurulun toplanması ve kararlar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21 –</w:t>
      </w:r>
      <w:r w:rsidRPr="006A69EB">
        <w:rPr>
          <w:rFonts w:ascii="Times New Roman" w:eastAsia="Times New Roman" w:hAnsi="Times New Roman" w:cs="Times New Roman"/>
          <w:sz w:val="24"/>
          <w:szCs w:val="24"/>
          <w:lang w:eastAsia="tr-TR"/>
        </w:rPr>
        <w:t> (1) Kurulda işçi ve işveren temsilcileri olarak en çok işçi ve işveren mensubu olan konfederasyonlarca seçilecek ikişer üye yer alır. İşveren temsilcilerinden biri, en çok işveren mensubu olan işveren sendikaları konfederasyonunun seçeceği kamu işverenidir. Ancak uyuşmazlık konusunun tarafı olan sendikanın bağlıbulunduğu işçi veya işveren sendikaları konfederasyonlarının en çok üyeye sahip konfederasyondan farklı olması halinde, sendikanın bağlı bulunduğu konfederasyonun seçeceği bir üye, ikinci üyenin yerine Kurul üyesi olarak toplantıya katılır.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Kurul Başkanı, başvuruların alındığı günden başlayarak altı iş günü içinde toplanmak üzere Genel Sekreterden Kurulu toplantıya çağırmasını ister.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(3) Kurul, Kurul Başkanınca belirlenen gün ve saatte, Kurul Başkanı ve en az beş üyenin katılımı ile toplanır. Mazeretli ya da izinli olan Kurul Başkanı ve üyelerinin yerini, yedek başkan ve aynı gruptan yedek üyelerden biri alır.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(4) Kararlar toplantıya katılanların oy çokluğuyla verilir. Oyların eşitliği halinde, Kurul Başkanının bulunduğu taraf çoğunluğu sağlamış sayılır.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(5) Kurul görüşmeleri gizli tutulur. Kararın özeti ile varsa muhalefet görüşleri karar defterine yazılır, Kurul Başkanı ve üyelerce imzalanır.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Karar verme süresi</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22 –</w:t>
      </w:r>
      <w:r w:rsidRPr="006A69EB">
        <w:rPr>
          <w:rFonts w:ascii="Times New Roman" w:eastAsia="Times New Roman" w:hAnsi="Times New Roman" w:cs="Times New Roman"/>
          <w:sz w:val="24"/>
          <w:szCs w:val="24"/>
          <w:lang w:eastAsia="tr-TR"/>
        </w:rPr>
        <w:t> (1) Kurul, teşmile ilişkin görüş bildirme dışındaki işlerde, yapacağı ilk toplantı gününden başlayarak en geç iki ay içinde kesin kararını verir.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Kararlarda yer alacak hususlar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23 –</w:t>
      </w:r>
      <w:r w:rsidRPr="006A69EB">
        <w:rPr>
          <w:rFonts w:ascii="Times New Roman" w:eastAsia="Times New Roman" w:hAnsi="Times New Roman" w:cs="Times New Roman"/>
          <w:sz w:val="24"/>
          <w:szCs w:val="24"/>
          <w:lang w:eastAsia="tr-TR"/>
        </w:rPr>
        <w:t> (1) Kurul kararları ve varsa muhalefet görüşleri gerekçeli olarak yazılır. Kararlarda; Kurul Başkanıyla üyelerin adı, soyadı ve imzası, kararın tarih ve numarası, başvuruda bulunanlar ve başvuru nedeni, uyuşmazlığın tarafları ile uyuşmazlığın olduğu işyerinin unvan ve adresi yer alır.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Kararların niteliği</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24 – </w:t>
      </w:r>
      <w:r w:rsidRPr="006A69EB">
        <w:rPr>
          <w:rFonts w:ascii="Times New Roman" w:eastAsia="Times New Roman" w:hAnsi="Times New Roman" w:cs="Times New Roman"/>
          <w:sz w:val="24"/>
          <w:szCs w:val="24"/>
          <w:lang w:eastAsia="tr-TR"/>
        </w:rPr>
        <w:t>(1) Kurulun toplu çıkar uyuşmazlıklarına ilişkin kararları kesindir ve toplu iş sözleşmesi hükmündedir.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Tazminat ve ücretler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25 –</w:t>
      </w:r>
      <w:r w:rsidRPr="006A69EB">
        <w:rPr>
          <w:rFonts w:ascii="Times New Roman" w:eastAsia="Times New Roman" w:hAnsi="Times New Roman" w:cs="Times New Roman"/>
          <w:sz w:val="24"/>
          <w:szCs w:val="24"/>
          <w:lang w:eastAsia="tr-TR"/>
        </w:rPr>
        <w:t> (1) Her toplantı günü için Kurul Başkanına 1100, üyelere 1000, Kurulda görevli uzman veraportörlere her çalışma günü için 700 gösterge rakamının memur aylık katsayıyla çarpılması sonucunda bulunacak miktarda tazminat ödenir. Uzman ve raportörlere ödenecek tazminat, aylık toplam iş gününü geçemez.</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lastRenderedPageBreak/>
        <w:t>(2) Uzman ve raportörlerin çalışmaları dosya üzerinden değerlendirilir. Uzman ve raportörlere ödenecek tazminat; iş yoğunluğu, uyuşmazlığın niteliği ve kapsamı, işyeri ve işin özelliği dikkate alınarak Genel Sekreterce belirlenen ve Kurul Başkanınca onaylanan çalışma günü üzerinden hesaplanır.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(3) Birinci ve ikinci fıkralar uyarınca belirlenen çalışmaların karşılığı yapılacak ödemelerin tahakkuku, birinci fıkraya göre Genel Sekreter tarafından yaptırılarak ilgililerine ödenir.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(4) Bilgi ve görüşlerini sözlü ve yazılı olarak bildirmeleri istenen bilirkişilere 500, tanıklara 400 gösterge rakamının birinci fıkrada sözü edilen katsayıyla çarpılması sonucunda bulunacak miktarda ücret ödenir.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Giderlerin karşılanması</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26 –</w:t>
      </w:r>
      <w:r w:rsidRPr="006A69EB">
        <w:rPr>
          <w:rFonts w:ascii="Times New Roman" w:eastAsia="Times New Roman" w:hAnsi="Times New Roman" w:cs="Times New Roman"/>
          <w:sz w:val="24"/>
          <w:szCs w:val="24"/>
          <w:lang w:eastAsia="tr-TR"/>
        </w:rPr>
        <w:t> (1) Kurulun giderleri ile demirbaş ve kırtasiye gereksinimi Bakanlık bütçesinden karşılanır.</w:t>
      </w:r>
    </w:p>
    <w:p w:rsidR="005350E0" w:rsidRPr="006A69EB" w:rsidRDefault="005350E0" w:rsidP="006A69EB">
      <w:pPr>
        <w:spacing w:before="85" w:after="100" w:afterAutospacing="1" w:line="240" w:lineRule="atLeast"/>
        <w:jc w:val="center"/>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BEŞİNCİ BÖLÜM</w:t>
      </w:r>
    </w:p>
    <w:p w:rsidR="005350E0" w:rsidRPr="006A69EB" w:rsidRDefault="005350E0" w:rsidP="006A69EB">
      <w:pPr>
        <w:spacing w:before="100" w:beforeAutospacing="1" w:after="100" w:afterAutospacing="1" w:line="240" w:lineRule="atLeast"/>
        <w:jc w:val="center"/>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Toplu Çıkar Uyuşmazlıklarında Özel Hakem İncelemesinde</w:t>
      </w:r>
    </w:p>
    <w:p w:rsidR="005350E0" w:rsidRPr="006A69EB" w:rsidRDefault="005350E0" w:rsidP="006A69EB">
      <w:pPr>
        <w:spacing w:before="100" w:beforeAutospacing="1" w:after="113" w:line="240" w:lineRule="atLeast"/>
        <w:jc w:val="center"/>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Uygulanacak Usul Hükümleri</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Özel hakeme başvurma</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27 – </w:t>
      </w:r>
      <w:r w:rsidRPr="006A69EB">
        <w:rPr>
          <w:rFonts w:ascii="Times New Roman" w:eastAsia="Times New Roman" w:hAnsi="Times New Roman" w:cs="Times New Roman"/>
          <w:sz w:val="24"/>
          <w:szCs w:val="24"/>
          <w:lang w:eastAsia="tr-TR"/>
        </w:rPr>
        <w:t>(1) Toplu çıkar uyuşmazlıklarında özel hakeme başvurma hususunda yazılı olarak anlaşan taraflar, uyuşmazlık konularıyla bunlara ilişkin önerilerini seçtikleri özel hakeme bildirir.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Taraflar, özel hakem olarak Kurulu da seçebilir.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Özel hakemin yapacağı inceleme</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28 –</w:t>
      </w:r>
      <w:r w:rsidRPr="006A69EB">
        <w:rPr>
          <w:rFonts w:ascii="Times New Roman" w:eastAsia="Times New Roman" w:hAnsi="Times New Roman" w:cs="Times New Roman"/>
          <w:sz w:val="24"/>
          <w:szCs w:val="24"/>
          <w:lang w:eastAsia="tr-TR"/>
        </w:rPr>
        <w:t> (1) Özel hakem, 27 nci maddeye göre yapılan bildirimden itibaren altı iş günü içinde uyuşmazlığıincelemeye başlar. Başvurunun özel hakem sıfatıyla incelenmeye başlandığı tarihi belirten bir yazıyı, taraflarca yapılan yazılı anlaşmanın bir örneğini de ekleyerek aynı süre içinde görevli makama gönderir.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Özel hakem, uyuşmazlığın çözümüyle ilgili olarak tarafların ve ilgili kurum ve kuruluşların bilgisine başvurabilir; taraflardan gerekli gördüğü belgeleri isteyebilir.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Özel hakemin karar verme süresi ve ücreti</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29 –</w:t>
      </w:r>
      <w:r w:rsidRPr="006A69EB">
        <w:rPr>
          <w:rFonts w:ascii="Times New Roman" w:eastAsia="Times New Roman" w:hAnsi="Times New Roman" w:cs="Times New Roman"/>
          <w:sz w:val="24"/>
          <w:szCs w:val="24"/>
          <w:lang w:eastAsia="tr-TR"/>
        </w:rPr>
        <w:t> (1) Özel hakem, uyuşmazlığı incelemeye başladığı tarihten itibaren otuz gün içinde kararını verir ve kararı derhal yazılı olarak taraflara ve görevli makama alındı belgesi karşılığında teslim eder ya da iadeli taahhütlüolarak gönderir.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Taraflar özel hakem olarak Kurulu seçtikleri takdirde, 25 inci maddede öngörülen tazminat tutarındaki özel hakem ücretini, tebliğ tarihinden itibaren üç iş günü içinde Kurul Başkanlığı adına açılacak hesaba yatırır.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(3) Aksi kararlaştırılmadıkça, özel hakem ücreti taraflarca eşit olarak ödenir.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lastRenderedPageBreak/>
        <w:t>(4) Tarafların, Kurulu özel hakem olarak seçmeleri nedeniyle ikinci fıkraya göre yatırdıkları özel hakem ücreti, Kurulun esas hakkındaki karar toplantısına katılanlara ödenir. Bu maddeye göre yapılacak ödemeler 25 inci maddedeki tazminat ödemeleri ile ilişkilendirilmez.</w:t>
      </w:r>
    </w:p>
    <w:p w:rsidR="005350E0" w:rsidRPr="006A69EB" w:rsidRDefault="005350E0" w:rsidP="006A69EB">
      <w:pPr>
        <w:spacing w:before="85" w:after="100" w:afterAutospacing="1" w:line="240" w:lineRule="atLeast"/>
        <w:jc w:val="center"/>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ALTINCI BÖLÜM</w:t>
      </w:r>
    </w:p>
    <w:p w:rsidR="005350E0" w:rsidRPr="006A69EB" w:rsidRDefault="005350E0" w:rsidP="006A69EB">
      <w:pPr>
        <w:spacing w:before="100" w:beforeAutospacing="1" w:after="85" w:line="240" w:lineRule="atLeast"/>
        <w:jc w:val="center"/>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Geçici ve Son Hükümler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Geçiş hükümleri</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GEÇİCİ MADDE 1 –</w:t>
      </w:r>
      <w:r w:rsidRPr="006A69EB">
        <w:rPr>
          <w:rFonts w:ascii="Times New Roman" w:eastAsia="Times New Roman" w:hAnsi="Times New Roman" w:cs="Times New Roman"/>
          <w:sz w:val="24"/>
          <w:szCs w:val="24"/>
          <w:lang w:eastAsia="tr-TR"/>
        </w:rPr>
        <w:t> (1) Bu Yönetmeliğin yayımından önce oluşturulan Seçici Kurul üyelerinden seçimle gelenlerin mevcut görevleri üç yıl tamamlanıncaya kadar devam eder.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sz w:val="24"/>
          <w:szCs w:val="24"/>
          <w:lang w:eastAsia="tr-TR"/>
        </w:rPr>
        <w:t>(2) Bu Yönetmeliğin yayımından önce seçilmiş arabulucular, seçildikleri görev alanlarında görev süreleri sonuna kadar devam eder.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Yürürlük</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MADDE 30 –</w:t>
      </w:r>
      <w:r w:rsidRPr="006A69EB">
        <w:rPr>
          <w:rFonts w:ascii="Times New Roman" w:eastAsia="Times New Roman" w:hAnsi="Times New Roman" w:cs="Times New Roman"/>
          <w:sz w:val="24"/>
          <w:szCs w:val="24"/>
          <w:lang w:eastAsia="tr-TR"/>
        </w:rPr>
        <w:t> (1) Bu Yönetmelik yayımı tarihinde yürürlüğe girer.</w:t>
      </w:r>
    </w:p>
    <w:p w:rsidR="005350E0" w:rsidRPr="006A69EB" w:rsidRDefault="005350E0" w:rsidP="005350E0">
      <w:pPr>
        <w:spacing w:before="100" w:beforeAutospacing="1" w:after="100" w:afterAutospacing="1" w:line="240" w:lineRule="atLeast"/>
        <w:ind w:firstLine="566"/>
        <w:rPr>
          <w:rFonts w:ascii="Times New Roman" w:eastAsia="Times New Roman" w:hAnsi="Times New Roman" w:cs="Times New Roman"/>
          <w:sz w:val="24"/>
          <w:szCs w:val="24"/>
          <w:lang w:eastAsia="tr-TR"/>
        </w:rPr>
      </w:pPr>
      <w:r w:rsidRPr="006A69EB">
        <w:rPr>
          <w:rFonts w:ascii="Times New Roman" w:eastAsia="Times New Roman" w:hAnsi="Times New Roman" w:cs="Times New Roman"/>
          <w:b/>
          <w:bCs/>
          <w:sz w:val="24"/>
          <w:szCs w:val="24"/>
          <w:lang w:eastAsia="tr-TR"/>
        </w:rPr>
        <w:t>Yürütme</w:t>
      </w:r>
    </w:p>
    <w:p w:rsidR="004556F8" w:rsidRPr="006A69EB" w:rsidRDefault="005350E0" w:rsidP="005350E0">
      <w:pPr>
        <w:rPr>
          <w:rFonts w:ascii="Times New Roman" w:hAnsi="Times New Roman" w:cs="Times New Roman"/>
          <w:sz w:val="24"/>
          <w:szCs w:val="24"/>
        </w:rPr>
      </w:pPr>
      <w:r w:rsidRPr="006A69EB">
        <w:rPr>
          <w:rFonts w:ascii="Times New Roman" w:eastAsia="Times New Roman" w:hAnsi="Times New Roman" w:cs="Times New Roman"/>
          <w:b/>
          <w:bCs/>
          <w:sz w:val="24"/>
          <w:szCs w:val="24"/>
          <w:lang w:eastAsia="tr-TR"/>
        </w:rPr>
        <w:t>MADDE 31 –</w:t>
      </w:r>
      <w:r w:rsidRPr="006A69EB">
        <w:rPr>
          <w:rFonts w:ascii="Times New Roman" w:eastAsia="Times New Roman" w:hAnsi="Times New Roman" w:cs="Times New Roman"/>
          <w:sz w:val="24"/>
          <w:szCs w:val="24"/>
          <w:lang w:eastAsia="tr-TR"/>
        </w:rPr>
        <w:t> (1) Bu Yönetmelik hükümlerini Çalışma ve Sosyal Güvenlik Bakanı yürütür.</w:t>
      </w:r>
    </w:p>
    <w:p w:rsidR="005F7BCF" w:rsidRPr="006A69EB" w:rsidRDefault="006A69EB" w:rsidP="00EC2FC3">
      <w:pPr>
        <w:rPr>
          <w:rFonts w:ascii="Times New Roman" w:hAnsi="Times New Roman" w:cs="Times New Roman"/>
          <w:b/>
          <w:color w:val="FF0000"/>
          <w:sz w:val="24"/>
          <w:szCs w:val="24"/>
        </w:rPr>
      </w:pPr>
      <w:r w:rsidRPr="006A69EB">
        <w:rPr>
          <w:rFonts w:ascii="Times New Roman" w:hAnsi="Times New Roman" w:cs="Times New Roman"/>
          <w:b/>
          <w:color w:val="FF0000"/>
          <w:sz w:val="24"/>
          <w:szCs w:val="24"/>
        </w:rPr>
        <w:t>Yönetmelik Ekleri İçin Aşağıdaki Sarı Alana Çift Tıklayınız</w:t>
      </w:r>
      <w:r>
        <w:rPr>
          <w:rFonts w:ascii="Times New Roman" w:hAnsi="Times New Roman" w:cs="Times New Roman"/>
          <w:b/>
          <w:color w:val="FF0000"/>
          <w:sz w:val="24"/>
          <w:szCs w:val="24"/>
        </w:rPr>
        <w:t>, Ekler Ayrı Sayfada Açılır</w:t>
      </w:r>
      <w:bookmarkStart w:id="0" w:name="_GoBack"/>
      <w:bookmarkEnd w:id="0"/>
    </w:p>
    <w:bookmarkStart w:id="1" w:name="_MON_1447882323"/>
    <w:bookmarkEnd w:id="1"/>
    <w:p w:rsidR="005F7BCF" w:rsidRPr="006A69EB" w:rsidRDefault="006A69EB" w:rsidP="00EC2FC3">
      <w:pPr>
        <w:rPr>
          <w:rFonts w:ascii="Times New Roman" w:hAnsi="Times New Roman" w:cs="Times New Roman"/>
          <w:sz w:val="24"/>
          <w:szCs w:val="24"/>
        </w:rPr>
      </w:pPr>
      <w:r w:rsidRPr="006A69EB">
        <w:rPr>
          <w:rFonts w:ascii="Times New Roman" w:hAnsi="Times New Roman" w:cs="Times New Roman"/>
          <w:sz w:val="24"/>
          <w:szCs w:val="24"/>
          <w:highlight w:val="yellow"/>
        </w:rPr>
        <w:object w:dxaOrig="1534" w:dyaOrig="9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49.5pt" o:ole="">
            <v:imagedata r:id="rId6" o:title=""/>
          </v:shape>
          <o:OLEObject Type="Embed" ProgID="Word.Document.12" ShapeID="_x0000_i1025" DrawAspect="Icon" ObjectID="_1481118642" r:id="rId7">
            <o:FieldCodes>\s</o:FieldCodes>
          </o:OLEObject>
        </w:object>
      </w:r>
    </w:p>
    <w:sectPr w:rsidR="005F7BCF" w:rsidRPr="006A69EB" w:rsidSect="007F3328">
      <w:footerReference w:type="default" r:id="rId8"/>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E6FD9" w:rsidRDefault="006E6FD9" w:rsidP="007F3328">
      <w:pPr>
        <w:spacing w:after="0" w:line="240" w:lineRule="auto"/>
      </w:pPr>
      <w:r>
        <w:separator/>
      </w:r>
    </w:p>
  </w:endnote>
  <w:endnote w:type="continuationSeparator" w:id="1">
    <w:p w:rsidR="006E6FD9" w:rsidRDefault="006E6FD9" w:rsidP="007F332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i/>
        <w:sz w:val="20"/>
        <w:szCs w:val="20"/>
      </w:rPr>
      <w:id w:val="-1567790385"/>
      <w:docPartObj>
        <w:docPartGallery w:val="Page Numbers (Bottom of Page)"/>
        <w:docPartUnique/>
      </w:docPartObj>
    </w:sdtPr>
    <w:sdtContent>
      <w:sdt>
        <w:sdtPr>
          <w:rPr>
            <w:i/>
            <w:sz w:val="20"/>
            <w:szCs w:val="20"/>
          </w:rPr>
          <w:id w:val="98381352"/>
          <w:docPartObj>
            <w:docPartGallery w:val="Page Numbers (Top of Page)"/>
            <w:docPartUnique/>
          </w:docPartObj>
        </w:sdtPr>
        <w:sdtContent>
          <w:p w:rsidR="007F3328" w:rsidRPr="007F3328" w:rsidRDefault="00A667CE" w:rsidP="007F3328">
            <w:pPr>
              <w:pStyle w:val="Altbilgi"/>
              <w:jc w:val="right"/>
              <w:rPr>
                <w:i/>
                <w:sz w:val="20"/>
                <w:szCs w:val="20"/>
              </w:rPr>
            </w:pPr>
            <w:r w:rsidRPr="007F3328">
              <w:rPr>
                <w:bCs/>
                <w:i/>
                <w:sz w:val="20"/>
                <w:szCs w:val="20"/>
              </w:rPr>
              <w:fldChar w:fldCharType="begin"/>
            </w:r>
            <w:r w:rsidR="007F3328" w:rsidRPr="007F3328">
              <w:rPr>
                <w:bCs/>
                <w:i/>
                <w:sz w:val="20"/>
                <w:szCs w:val="20"/>
              </w:rPr>
              <w:instrText>PAGE</w:instrText>
            </w:r>
            <w:r w:rsidRPr="007F3328">
              <w:rPr>
                <w:bCs/>
                <w:i/>
                <w:sz w:val="20"/>
                <w:szCs w:val="20"/>
              </w:rPr>
              <w:fldChar w:fldCharType="separate"/>
            </w:r>
            <w:r w:rsidR="00380688">
              <w:rPr>
                <w:bCs/>
                <w:i/>
                <w:noProof/>
                <w:sz w:val="20"/>
                <w:szCs w:val="20"/>
              </w:rPr>
              <w:t>9</w:t>
            </w:r>
            <w:r w:rsidRPr="007F3328">
              <w:rPr>
                <w:bCs/>
                <w:i/>
                <w:sz w:val="20"/>
                <w:szCs w:val="20"/>
              </w:rPr>
              <w:fldChar w:fldCharType="end"/>
            </w:r>
            <w:r w:rsidR="007F3328" w:rsidRPr="007F3328">
              <w:rPr>
                <w:i/>
                <w:sz w:val="20"/>
                <w:szCs w:val="20"/>
              </w:rPr>
              <w:t xml:space="preserve"> / </w:t>
            </w:r>
            <w:r w:rsidRPr="007F3328">
              <w:rPr>
                <w:bCs/>
                <w:i/>
                <w:sz w:val="20"/>
                <w:szCs w:val="20"/>
              </w:rPr>
              <w:fldChar w:fldCharType="begin"/>
            </w:r>
            <w:r w:rsidR="007F3328" w:rsidRPr="007F3328">
              <w:rPr>
                <w:bCs/>
                <w:i/>
                <w:sz w:val="20"/>
                <w:szCs w:val="20"/>
              </w:rPr>
              <w:instrText>NUMPAGES</w:instrText>
            </w:r>
            <w:r w:rsidRPr="007F3328">
              <w:rPr>
                <w:bCs/>
                <w:i/>
                <w:sz w:val="20"/>
                <w:szCs w:val="20"/>
              </w:rPr>
              <w:fldChar w:fldCharType="separate"/>
            </w:r>
            <w:r w:rsidR="00380688">
              <w:rPr>
                <w:bCs/>
                <w:i/>
                <w:noProof/>
                <w:sz w:val="20"/>
                <w:szCs w:val="20"/>
              </w:rPr>
              <w:t>9</w:t>
            </w:r>
            <w:r w:rsidRPr="007F3328">
              <w:rPr>
                <w:bCs/>
                <w:i/>
                <w:sz w:val="20"/>
                <w:szCs w:val="20"/>
              </w:rPr>
              <w:fldChar w:fldCharType="end"/>
            </w:r>
          </w:p>
        </w:sdtContent>
      </w:sdt>
    </w:sdtContent>
  </w:sdt>
  <w:p w:rsidR="007F3328" w:rsidRDefault="007F3328">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E6FD9" w:rsidRDefault="006E6FD9" w:rsidP="007F3328">
      <w:pPr>
        <w:spacing w:after="0" w:line="240" w:lineRule="auto"/>
      </w:pPr>
      <w:r>
        <w:separator/>
      </w:r>
    </w:p>
  </w:footnote>
  <w:footnote w:type="continuationSeparator" w:id="1">
    <w:p w:rsidR="006E6FD9" w:rsidRDefault="006E6FD9" w:rsidP="007F3328">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060E27"/>
    <w:rsid w:val="00057457"/>
    <w:rsid w:val="00060E27"/>
    <w:rsid w:val="00114766"/>
    <w:rsid w:val="001D4B92"/>
    <w:rsid w:val="001F537A"/>
    <w:rsid w:val="00277745"/>
    <w:rsid w:val="00380688"/>
    <w:rsid w:val="003A1AC9"/>
    <w:rsid w:val="004556F8"/>
    <w:rsid w:val="005350E0"/>
    <w:rsid w:val="005F7BCF"/>
    <w:rsid w:val="006A69EB"/>
    <w:rsid w:val="006E6FD9"/>
    <w:rsid w:val="007F3328"/>
    <w:rsid w:val="00905975"/>
    <w:rsid w:val="00A667CE"/>
    <w:rsid w:val="00B623D2"/>
    <w:rsid w:val="00C301F7"/>
    <w:rsid w:val="00EC2FC3"/>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56F8"/>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F332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F3328"/>
  </w:style>
  <w:style w:type="paragraph" w:styleId="Altbilgi">
    <w:name w:val="footer"/>
    <w:basedOn w:val="Normal"/>
    <w:link w:val="AltbilgiChar"/>
    <w:uiPriority w:val="99"/>
    <w:unhideWhenUsed/>
    <w:rsid w:val="007F332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F3328"/>
  </w:style>
  <w:style w:type="character" w:styleId="Kpr">
    <w:name w:val="Hyperlink"/>
    <w:basedOn w:val="VarsaylanParagrafYazTipi"/>
    <w:uiPriority w:val="99"/>
    <w:unhideWhenUsed/>
    <w:rsid w:val="004556F8"/>
    <w:rPr>
      <w:color w:val="0000FF" w:themeColor="hyperlink"/>
      <w:u w:val="single"/>
    </w:rPr>
  </w:style>
  <w:style w:type="paragraph" w:customStyle="1" w:styleId="style9">
    <w:name w:val="style9"/>
    <w:basedOn w:val="Normal"/>
    <w:rsid w:val="0027774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uto-style8">
    <w:name w:val="auto-style8"/>
    <w:basedOn w:val="VarsaylanParagrafYazTipi"/>
    <w:rsid w:val="00277745"/>
  </w:style>
  <w:style w:type="character" w:customStyle="1" w:styleId="style1">
    <w:name w:val="style1"/>
    <w:basedOn w:val="VarsaylanParagrafYazTipi"/>
    <w:rsid w:val="00277745"/>
  </w:style>
  <w:style w:type="character" w:customStyle="1" w:styleId="auto-style7">
    <w:name w:val="auto-style7"/>
    <w:basedOn w:val="VarsaylanParagrafYazTipi"/>
    <w:rsid w:val="00277745"/>
  </w:style>
  <w:style w:type="character" w:customStyle="1" w:styleId="apple-converted-space">
    <w:name w:val="apple-converted-space"/>
    <w:basedOn w:val="VarsaylanParagrafYazTipi"/>
    <w:rsid w:val="005350E0"/>
  </w:style>
  <w:style w:type="character" w:customStyle="1" w:styleId="grame">
    <w:name w:val="grame"/>
    <w:basedOn w:val="VarsaylanParagrafYazTipi"/>
    <w:rsid w:val="005350E0"/>
  </w:style>
  <w:style w:type="paragraph" w:styleId="NormalWeb">
    <w:name w:val="Normal (Web)"/>
    <w:basedOn w:val="Normal"/>
    <w:uiPriority w:val="99"/>
    <w:unhideWhenUsed/>
    <w:rsid w:val="005350E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1-baslk">
    <w:name w:val="1-baslk"/>
    <w:basedOn w:val="Normal"/>
    <w:rsid w:val="005350E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rsid w:val="005350E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3-normalyaz">
    <w:name w:val="3-normalyaz"/>
    <w:basedOn w:val="Normal"/>
    <w:rsid w:val="005350E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pelle">
    <w:name w:val="spelle"/>
    <w:basedOn w:val="VarsaylanParagrafYazTipi"/>
    <w:rsid w:val="005350E0"/>
  </w:style>
  <w:style w:type="character" w:styleId="zlenenKpr">
    <w:name w:val="FollowedHyperlink"/>
    <w:basedOn w:val="VarsaylanParagrafYazTipi"/>
    <w:uiPriority w:val="99"/>
    <w:semiHidden/>
    <w:unhideWhenUsed/>
    <w:rsid w:val="005350E0"/>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56F8"/>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F332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F3328"/>
  </w:style>
  <w:style w:type="paragraph" w:styleId="Altbilgi">
    <w:name w:val="footer"/>
    <w:basedOn w:val="Normal"/>
    <w:link w:val="AltbilgiChar"/>
    <w:uiPriority w:val="99"/>
    <w:unhideWhenUsed/>
    <w:rsid w:val="007F332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F3328"/>
  </w:style>
  <w:style w:type="character" w:styleId="Kpr">
    <w:name w:val="Hyperlink"/>
    <w:basedOn w:val="VarsaylanParagrafYazTipi"/>
    <w:uiPriority w:val="99"/>
    <w:unhideWhenUsed/>
    <w:rsid w:val="004556F8"/>
    <w:rPr>
      <w:color w:val="0000FF" w:themeColor="hyperlink"/>
      <w:u w:val="single"/>
    </w:rPr>
  </w:style>
  <w:style w:type="paragraph" w:customStyle="1" w:styleId="style9">
    <w:name w:val="style9"/>
    <w:basedOn w:val="Normal"/>
    <w:rsid w:val="0027774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uto-style8">
    <w:name w:val="auto-style8"/>
    <w:basedOn w:val="VarsaylanParagrafYazTipi"/>
    <w:rsid w:val="00277745"/>
  </w:style>
  <w:style w:type="character" w:customStyle="1" w:styleId="style1">
    <w:name w:val="style1"/>
    <w:basedOn w:val="VarsaylanParagrafYazTipi"/>
    <w:rsid w:val="00277745"/>
  </w:style>
  <w:style w:type="character" w:customStyle="1" w:styleId="auto-style7">
    <w:name w:val="auto-style7"/>
    <w:basedOn w:val="VarsaylanParagrafYazTipi"/>
    <w:rsid w:val="00277745"/>
  </w:style>
  <w:style w:type="character" w:customStyle="1" w:styleId="apple-converted-space">
    <w:name w:val="apple-converted-space"/>
    <w:basedOn w:val="VarsaylanParagrafYazTipi"/>
    <w:rsid w:val="005350E0"/>
  </w:style>
  <w:style w:type="character" w:customStyle="1" w:styleId="grame">
    <w:name w:val="grame"/>
    <w:basedOn w:val="VarsaylanParagrafYazTipi"/>
    <w:rsid w:val="005350E0"/>
  </w:style>
  <w:style w:type="paragraph" w:styleId="NormalWeb">
    <w:name w:val="Normal (Web)"/>
    <w:basedOn w:val="Normal"/>
    <w:uiPriority w:val="99"/>
    <w:unhideWhenUsed/>
    <w:rsid w:val="005350E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1-baslk">
    <w:name w:val="1-baslk"/>
    <w:basedOn w:val="Normal"/>
    <w:rsid w:val="005350E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rsid w:val="005350E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3-normalyaz">
    <w:name w:val="3-normalyaz"/>
    <w:basedOn w:val="Normal"/>
    <w:rsid w:val="005350E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pelle">
    <w:name w:val="spelle"/>
    <w:basedOn w:val="VarsaylanParagrafYazTipi"/>
    <w:rsid w:val="005350E0"/>
  </w:style>
  <w:style w:type="character" w:styleId="zlenenKpr">
    <w:name w:val="FollowedHyperlink"/>
    <w:basedOn w:val="VarsaylanParagrafYazTipi"/>
    <w:uiPriority w:val="99"/>
    <w:semiHidden/>
    <w:unhideWhenUsed/>
    <w:rsid w:val="005350E0"/>
    <w:rPr>
      <w:color w:val="800080"/>
      <w:u w:val="single"/>
    </w:rPr>
  </w:style>
</w:styles>
</file>

<file path=word/webSettings.xml><?xml version="1.0" encoding="utf-8"?>
<w:webSettings xmlns:r="http://schemas.openxmlformats.org/officeDocument/2006/relationships" xmlns:w="http://schemas.openxmlformats.org/wordprocessingml/2006/main">
  <w:divs>
    <w:div w:id="175927036">
      <w:bodyDiv w:val="1"/>
      <w:marLeft w:val="0"/>
      <w:marRight w:val="0"/>
      <w:marTop w:val="0"/>
      <w:marBottom w:val="0"/>
      <w:divBdr>
        <w:top w:val="none" w:sz="0" w:space="0" w:color="auto"/>
        <w:left w:val="none" w:sz="0" w:space="0" w:color="auto"/>
        <w:bottom w:val="none" w:sz="0" w:space="0" w:color="auto"/>
        <w:right w:val="none" w:sz="0" w:space="0" w:color="auto"/>
      </w:divBdr>
    </w:div>
    <w:div w:id="602886046">
      <w:bodyDiv w:val="1"/>
      <w:marLeft w:val="0"/>
      <w:marRight w:val="0"/>
      <w:marTop w:val="0"/>
      <w:marBottom w:val="0"/>
      <w:divBdr>
        <w:top w:val="none" w:sz="0" w:space="0" w:color="auto"/>
        <w:left w:val="none" w:sz="0" w:space="0" w:color="auto"/>
        <w:bottom w:val="none" w:sz="0" w:space="0" w:color="auto"/>
        <w:right w:val="none" w:sz="0" w:space="0" w:color="auto"/>
      </w:divBdr>
    </w:div>
    <w:div w:id="1927687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package" Target="embeddings/Microsoft_Office_Word_Belgesi1.docx"/><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11" Type="http://schemas.microsoft.com/office/2007/relationships/stylesWithEffects" Target="stylesWithEffects.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9</Pages>
  <Words>3077</Words>
  <Characters>17543</Characters>
  <Application>Microsoft Office Word</Application>
  <DocSecurity>0</DocSecurity>
  <Lines>146</Lines>
  <Paragraphs>41</Paragraphs>
  <ScaleCrop>false</ScaleCrop>
  <HeadingPairs>
    <vt:vector size="2" baseType="variant">
      <vt:variant>
        <vt:lpstr>Konu Başlığı</vt:lpstr>
      </vt:variant>
      <vt:variant>
        <vt:i4>1</vt:i4>
      </vt:variant>
    </vt:vector>
  </HeadingPairs>
  <TitlesOfParts>
    <vt:vector size="1" baseType="lpstr">
      <vt:lpstr/>
    </vt:vector>
  </TitlesOfParts>
  <Company>E.A.</Company>
  <LinksUpToDate>false</LinksUpToDate>
  <CharactersWithSpaces>20579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www.bilgit.com</dc:creator>
  <cp:lastModifiedBy>win7</cp:lastModifiedBy>
  <cp:revision>9</cp:revision>
  <dcterms:created xsi:type="dcterms:W3CDTF">2013-04-27T09:36:00Z</dcterms:created>
  <dcterms:modified xsi:type="dcterms:W3CDTF">2014-12-26T15:04:00Z</dcterms:modified>
</cp:coreProperties>
</file>