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4B" w:rsidRPr="00BB744B" w:rsidRDefault="00BB744B" w:rsidP="00BB744B">
      <w:pPr>
        <w:spacing w:after="0" w:line="264" w:lineRule="auto"/>
        <w:ind w:firstLine="321"/>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4"/>
          <w:lang w:eastAsia="tr-TR"/>
        </w:rPr>
        <w:t>YÜZDELERDEN TOPLANAN PARALARIN İŞÇİLERE</w:t>
      </w:r>
    </w:p>
    <w:p w:rsidR="00BB744B" w:rsidRDefault="00BB744B" w:rsidP="00BB744B">
      <w:pPr>
        <w:spacing w:after="0" w:line="264" w:lineRule="auto"/>
        <w:ind w:firstLine="321"/>
        <w:jc w:val="center"/>
        <w:rPr>
          <w:rFonts w:ascii="Times New Roman" w:eastAsia="Times New Roman" w:hAnsi="Times New Roman" w:cs="Times New Roman"/>
          <w:b/>
          <w:bCs/>
          <w:kern w:val="0"/>
          <w:sz w:val="20"/>
          <w:szCs w:val="24"/>
          <w:lang w:eastAsia="tr-TR"/>
        </w:rPr>
      </w:pPr>
      <w:r w:rsidRPr="00BB744B">
        <w:rPr>
          <w:rFonts w:ascii="Times New Roman" w:eastAsia="Times New Roman" w:hAnsi="Times New Roman" w:cs="Times New Roman"/>
          <w:b/>
          <w:bCs/>
          <w:kern w:val="0"/>
          <w:sz w:val="20"/>
          <w:szCs w:val="24"/>
          <w:lang w:eastAsia="tr-TR"/>
        </w:rPr>
        <w:t>DAĞITILMASI HAKKINDA YÖNETMELİK</w:t>
      </w:r>
    </w:p>
    <w:p w:rsidR="00BB744B" w:rsidRPr="00BB744B" w:rsidRDefault="00BB744B" w:rsidP="00BB744B">
      <w:pPr>
        <w:spacing w:after="240"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4"/>
          <w:szCs w:val="24"/>
          <w:lang w:eastAsia="tr-TR"/>
        </w:rPr>
        <w:t>Resmi Gazete Tarihi: 28.02.2004 Resmi Gazete Sayısı: 25387</w:t>
      </w:r>
      <w:r w:rsidR="00E13BB6" w:rsidRPr="00BB744B">
        <w:rPr>
          <w:rFonts w:ascii="Times New Roman" w:eastAsia="Times New Roman" w:hAnsi="Times New Roman" w:cs="Times New Roman"/>
          <w:kern w:val="0"/>
          <w:sz w:val="24"/>
          <w:szCs w:val="24"/>
          <w:lang w:eastAsia="tr-TR"/>
        </w:rPr>
        <w:t xml:space="preserve"> </w:t>
      </w:r>
    </w:p>
    <w:p w:rsidR="00BB744B" w:rsidRPr="00BB744B" w:rsidRDefault="00BB744B" w:rsidP="00BB744B">
      <w:pPr>
        <w:spacing w:before="129" w:after="0" w:line="264" w:lineRule="auto"/>
        <w:ind w:firstLine="321"/>
        <w:jc w:val="center"/>
        <w:rPr>
          <w:rFonts w:ascii="Times New Roman" w:eastAsia="Times New Roman" w:hAnsi="Times New Roman" w:cs="Times New Roman"/>
          <w:kern w:val="0"/>
          <w:sz w:val="24"/>
          <w:szCs w:val="24"/>
          <w:lang w:eastAsia="tr-TR"/>
        </w:rPr>
      </w:pPr>
      <w:bookmarkStart w:id="0" w:name="_GoBack"/>
      <w:bookmarkEnd w:id="0"/>
      <w:r w:rsidRPr="00BB744B">
        <w:rPr>
          <w:rFonts w:ascii="Times New Roman" w:eastAsia="Times New Roman" w:hAnsi="Times New Roman" w:cs="Times New Roman"/>
          <w:kern w:val="0"/>
          <w:sz w:val="20"/>
          <w:szCs w:val="20"/>
          <w:lang w:eastAsia="tr-TR"/>
        </w:rPr>
        <w:t>BİRİNCİ BÖLÜM</w:t>
      </w:r>
    </w:p>
    <w:p w:rsidR="00BB744B" w:rsidRPr="00BB744B" w:rsidRDefault="00BB744B" w:rsidP="00BB744B">
      <w:pPr>
        <w:spacing w:after="0" w:line="264" w:lineRule="auto"/>
        <w:ind w:firstLine="321"/>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Amaç, Kapsam ve Dayanak</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Amaç</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1 —</w:t>
      </w:r>
      <w:r w:rsidRPr="00BB744B">
        <w:rPr>
          <w:rFonts w:ascii="Times New Roman" w:eastAsia="Times New Roman" w:hAnsi="Times New Roman" w:cs="Times New Roman"/>
          <w:kern w:val="0"/>
          <w:sz w:val="20"/>
          <w:szCs w:val="20"/>
          <w:lang w:eastAsia="tr-TR"/>
        </w:rPr>
        <w:t xml:space="preserve"> Bu Yönetmelik, 4857 sayılı İş Kanununun 51 inci maddesi gereğince, yüzdelerden toplanan paraların, işyerinde çalışan tüm işçilere, yapılan işlerin niteliğine göre, hangi esaslar ve oranlar çerçevesinde dağıtılacağını göstermek amacıyla hazırlanmıştır.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Kapsam</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2 —</w:t>
      </w:r>
      <w:r w:rsidRPr="00BB744B">
        <w:rPr>
          <w:rFonts w:ascii="Times New Roman" w:eastAsia="Times New Roman" w:hAnsi="Times New Roman" w:cs="Times New Roman"/>
          <w:kern w:val="0"/>
          <w:sz w:val="20"/>
          <w:szCs w:val="20"/>
          <w:lang w:eastAsia="tr-TR"/>
        </w:rPr>
        <w:t xml:space="preserve"> Oteller, lokantalar, eğlence yerleri ve benzeri yerler ile içki verilen ve hemen orada yenilip içilmesi için çeşitli yiyecek satan yerlerden "yüzde" usulünün uygulandığı müesseseler, bu Yönetmelik hükümlerine tabidir.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Dayanak</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3 —</w:t>
      </w:r>
      <w:r w:rsidRPr="00BB744B">
        <w:rPr>
          <w:rFonts w:ascii="Times New Roman" w:eastAsia="Times New Roman" w:hAnsi="Times New Roman" w:cs="Times New Roman"/>
          <w:kern w:val="0"/>
          <w:sz w:val="20"/>
          <w:szCs w:val="20"/>
          <w:lang w:eastAsia="tr-TR"/>
        </w:rPr>
        <w:t xml:space="preserve"> Bu Yönetmelik, 10/6/2003 tarihli ve 25134 sayılı Resmî Gazete’de yayımlanarak yürürlüğe giren 22/5/2003 tarihli ve 4857 sayılı İş Kanununun 51 inci maddesine dayanılarak çıkarılmıştır.</w:t>
      </w:r>
    </w:p>
    <w:p w:rsidR="00BB744B" w:rsidRPr="00BB744B" w:rsidRDefault="00BB744B" w:rsidP="00BB744B">
      <w:pPr>
        <w:spacing w:after="0" w:line="264" w:lineRule="auto"/>
        <w:ind w:firstLine="321"/>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p w:rsidR="00BB744B" w:rsidRPr="00BB744B" w:rsidRDefault="00BB744B" w:rsidP="00BB744B">
      <w:pPr>
        <w:spacing w:after="0" w:line="264" w:lineRule="auto"/>
        <w:ind w:firstLine="321"/>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İKİNCİ BÖLÜM</w:t>
      </w:r>
    </w:p>
    <w:p w:rsidR="00BB744B" w:rsidRPr="00BB744B" w:rsidRDefault="00BB744B" w:rsidP="00BB744B">
      <w:pPr>
        <w:spacing w:after="0" w:line="264" w:lineRule="auto"/>
        <w:ind w:firstLine="321"/>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Genel Hükümler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Yüzdelerin toplanması ve ödenmesi</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4 —</w:t>
      </w:r>
      <w:r w:rsidRPr="00BB744B">
        <w:rPr>
          <w:rFonts w:ascii="Times New Roman" w:eastAsia="Times New Roman" w:hAnsi="Times New Roman" w:cs="Times New Roman"/>
          <w:kern w:val="0"/>
          <w:sz w:val="20"/>
          <w:szCs w:val="20"/>
          <w:lang w:eastAsia="tr-TR"/>
        </w:rPr>
        <w:t xml:space="preserve"> İkinci maddede belirtilen işyerlerinde, işveren tarafından servis karşılığı veya başka isimlerle müşterilerin hesap pusulalarına "yüzde" eklenerek veya ayrı şekillerde alınan paralarla, kendi isteği ile müşteri tarafından işverene bırakılan veya işverenin kontrolü altında bir araya toplanan paraları, işveren, işyerinde çalışan tüm işçilere eksiksiz olarak ödemek zorundadır.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Yüzdelerin dağıtılmasına ilişkin esaslar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5 —</w:t>
      </w:r>
      <w:r w:rsidRPr="00BB744B">
        <w:rPr>
          <w:rFonts w:ascii="Times New Roman" w:eastAsia="Times New Roman" w:hAnsi="Times New Roman" w:cs="Times New Roman"/>
          <w:kern w:val="0"/>
          <w:sz w:val="20"/>
          <w:szCs w:val="20"/>
          <w:lang w:eastAsia="tr-TR"/>
        </w:rPr>
        <w:t xml:space="preserve"> Yüzdelerin dağıtımında, işyerindeki tüm servislerden elde edilen yüzdelerin toplamı ile işçilerin fiilen yaptıkları işler esas alınır.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İşyerinde çalışan her işçi, toplanan yüzdelerden, fiilen çalıştığı gün sayısına ve elde ettiği puana göre yararlanır.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İşçinin yaptığı işler, puan cetvelinde birden çok gruba giriyorsa, sadece puanı yüksek olan iş esas alınır.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Fazla çalışma yapan ve fazla sürelerle çalışan işçilerin, fazla çalışma ve fazla sürelerle çalışma saatlerine ait puanları, normal çalışma puanlarına eklenir.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Yüzdelerden ödenen fazla çalışma ve fazla sürelerle çalışmanın zamsız karşılığı ile zamlı olarak ödenmesi gereken ücret arasındaki fark, işveren tarafından ödenir.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Düğün, çay, balo, ziyafet ve toplantı gibi ilave işlerden, servis karşılığı yüzde alındığı takdirde, bu işler için geçici olarak alınan işçilerin ücretleri, puan cetvelinde yer alan, yapılan iş ve görev unvanları dikkate alınarak hesaplanır. Ancak, bu tutar çalışılan süreye denk gelen asgari ücretin altında olamaz.</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İlave işler için alınan işçiler, başka işlerde çalıştırılamaz.</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Yüzdelerin belgelenmesi</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6 —</w:t>
      </w:r>
      <w:r w:rsidRPr="00BB744B">
        <w:rPr>
          <w:rFonts w:ascii="Times New Roman" w:eastAsia="Times New Roman" w:hAnsi="Times New Roman" w:cs="Times New Roman"/>
          <w:kern w:val="0"/>
          <w:sz w:val="20"/>
          <w:szCs w:val="20"/>
          <w:lang w:eastAsia="tr-TR"/>
        </w:rPr>
        <w:t xml:space="preserve"> Yüzde usulünün uygulandığı işyerlerinde, işveren, her hesap pusulasının genel toplamını gösteren belgeyi, toplu iş sözleşmesinin uygulandığı işyerlerinde sendika temsilcisine, diğer işyerlerinde bu Yönetmeliğin 8 inci maddesinde belirtilen seçilmiş işçi temsilcisine vermekle yükümlüdür. Bu belgenin şekil ve uygulama usulleri, iş sözleşmelerinde veya toplu iş sözleşmelerinde gösterilir. Bu belgeler ve belgelerin esas alındığı kayıtlar, beş yıl süreyle saklanır.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Puanların verilmesinde dikkate alınacak hususlar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7 —</w:t>
      </w:r>
      <w:r w:rsidRPr="00BB744B">
        <w:rPr>
          <w:rFonts w:ascii="Times New Roman" w:eastAsia="Times New Roman" w:hAnsi="Times New Roman" w:cs="Times New Roman"/>
          <w:kern w:val="0"/>
          <w:sz w:val="20"/>
          <w:szCs w:val="20"/>
          <w:lang w:eastAsia="tr-TR"/>
        </w:rPr>
        <w:t xml:space="preserve"> İşyerlerinde yapılan işlerin niteliğine göre, işçiler için tespit edilen puanlar, Yönetmelik ekindeki puan cetvelinde gruplar halinde gösterilmiştir.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İşçiler, dahil oldukları grubun alt sınırındaki puanla işe başlarlar. Bu cetvelde yer almayan işler ve unvanlar için, işçiye cetveldeki benzeri işlerden en yakın olanının puanı verilir.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İşyerinde aynı grupta geçen başarılı her üç yıllık hizmet için, bir puan eklenir. İşyerine yeni alınan işçilerin, meslekte geçirdikleri başarılı hizmet yıllarını belgelendirmeleri durumunda, bu hizmetleri de, aynı esaslara göre değerlendirilir. Ancak, bu şekilde bulunacak puanlar, o grubun üst sınırını geçemez. Bir üst gruba atanan işçi, eski grubundaki üst sınır puanına erişmiş ise, yeni grubun alt sınır puanının bir puan fazlasını alır.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lastRenderedPageBreak/>
        <w:t>Değerlendirilen hizmet sürelerine ilişkin belgeler, işyeri kayıtları arasında saklanmak zorundadır.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Değerlendirme kurulunun oluşturulması</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8 —</w:t>
      </w:r>
      <w:r w:rsidRPr="00BB744B">
        <w:rPr>
          <w:rFonts w:ascii="Times New Roman" w:eastAsia="Times New Roman" w:hAnsi="Times New Roman" w:cs="Times New Roman"/>
          <w:kern w:val="0"/>
          <w:sz w:val="20"/>
          <w:szCs w:val="20"/>
          <w:lang w:eastAsia="tr-TR"/>
        </w:rPr>
        <w:t xml:space="preserve"> Hizmet süreleri ile başarı durumları, işyerlerinde oluşturulacak değerlendirme kurulu tarafından tespit edilir. Değerlendirme Kurulu; işveren veya temsilcisinin başkanlığında, sendika temsilcisi ve işveren vekili sıfatını taşımayan en kıdemli birim amirinden oluşur. İşyerinde uygulanan toplu iş sözleşmesi yoksa, tüm işçilerin katılımıyla, işçilerin kendi aralarında, gizli oy açık sayımla seçecekleri, işçi temsilcisi kurula katılır.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Bu işçi temsilcinin seçimi ile ilgili gerekli işlemler, işveren temsilcisi ile biri servis içi diğeri servis dışı olmak üzere, en kıdemli iki birim amiri tarafından yapılır. Seçim sonucu tutanakla belgelenir ve işyerinde ilan edilir. Temsilcinin herhangi bir nedenle iş sözleşmesinin sona ermesi halinde, aynı usulle yenisi seçilir.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Temsilci seçimine ilişkin belgeler, işyeri kayıtları arasında saklanır.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Çalışma tarzına göre dikkate alınacak puanlar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9 —</w:t>
      </w:r>
      <w:r w:rsidRPr="00BB744B">
        <w:rPr>
          <w:rFonts w:ascii="Times New Roman" w:eastAsia="Times New Roman" w:hAnsi="Times New Roman" w:cs="Times New Roman"/>
          <w:kern w:val="0"/>
          <w:sz w:val="20"/>
          <w:szCs w:val="20"/>
          <w:lang w:eastAsia="tr-TR"/>
        </w:rPr>
        <w:t xml:space="preserve"> Servislerde çalışan işçilerin, puan cetveline göre yaptıkları işin karşılığı olan puanlarının tamamı dikkate alınır.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Servis dışında çalışan işçiler için, işveren tarafından verilen günlük, haftalık veya aylık ücretlerine ilave olarak, yaptıkları işin karşılığında, puan cetvelinde gösterilen puanların, yüzde 25’i dikkate alınır.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Bu Yönetmelik kapsamına giren işyerlerinde, bölümlerin birinci derecedeki sorumlu müdürleri ile müdür yardımcıları ve bunların üzerlerindeki görevlilere, işveren tarafından verilen günlük, haftalık veya aylık ücretlerine ilave olarak, Yönetmeliğin 6 ncı maddesindeki esaslara göre, I. Grup içerisinde tespit edilecek puanın yüzde 5’i verilir.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İzin ve tatil ücretleri</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10 —</w:t>
      </w:r>
      <w:r w:rsidRPr="00BB744B">
        <w:rPr>
          <w:rFonts w:ascii="Times New Roman" w:eastAsia="Times New Roman" w:hAnsi="Times New Roman" w:cs="Times New Roman"/>
          <w:kern w:val="0"/>
          <w:sz w:val="20"/>
          <w:szCs w:val="20"/>
          <w:lang w:eastAsia="tr-TR"/>
        </w:rPr>
        <w:t xml:space="preserve"> Servis dışında çalışan işçilerin hafta tatili, ulusal bayram ve genel tatil ücretleri ile yıllık izin ücretleri karşılığı olarak işveren tarafından ödenecek paraların hesabında, bu işçilere yüzdelerden düşen paylar da dikkate alınır. Bu hesaplama yüzde ile çalışan işçiler için İş Kanununda öngörülen esaslara göre yapılır.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Saklı haklar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11 —</w:t>
      </w:r>
      <w:r w:rsidRPr="00BB744B">
        <w:rPr>
          <w:rFonts w:ascii="Times New Roman" w:eastAsia="Times New Roman" w:hAnsi="Times New Roman" w:cs="Times New Roman"/>
          <w:kern w:val="0"/>
          <w:sz w:val="20"/>
          <w:szCs w:val="20"/>
          <w:lang w:eastAsia="tr-TR"/>
        </w:rPr>
        <w:t xml:space="preserve"> Bu Yönetmelik hükümlerine göre, yüzdelerden pay verilmesi sebebi ile servis dışında çalışan işçilerin, ücret, sosyal yardım ve diğer haklarından eksiltme yapılamaz ve asgari ücret yüzde payı ile tamamlanamaz.</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İlan yükümlülüğü</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12 —</w:t>
      </w:r>
      <w:r w:rsidRPr="00BB744B">
        <w:rPr>
          <w:rFonts w:ascii="Times New Roman" w:eastAsia="Times New Roman" w:hAnsi="Times New Roman" w:cs="Times New Roman"/>
          <w:kern w:val="0"/>
          <w:sz w:val="20"/>
          <w:szCs w:val="20"/>
          <w:lang w:eastAsia="tr-TR"/>
        </w:rPr>
        <w:t xml:space="preserve"> İşverenler, yüzdelerden toplanan paraların dağıtılacağı işleri, unvanları, puanları ve oranlarını gösteren çizelgeyi işyerinde işçilerin kolayca görebilecekleri bir yerde ilan etmek zorundadır.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Yönetmeliğe aykırı hükümler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13 —</w:t>
      </w:r>
      <w:r w:rsidRPr="00BB744B">
        <w:rPr>
          <w:rFonts w:ascii="Times New Roman" w:eastAsia="Times New Roman" w:hAnsi="Times New Roman" w:cs="Times New Roman"/>
          <w:kern w:val="0"/>
          <w:sz w:val="20"/>
          <w:szCs w:val="20"/>
          <w:lang w:eastAsia="tr-TR"/>
        </w:rPr>
        <w:t xml:space="preserve"> İş sözleşmeleri ve toplu iş sözleşmelerine, bu Yönetmelikte öngörülen esaslara aykırı hükümler konulamaz.</w:t>
      </w:r>
    </w:p>
    <w:p w:rsidR="00BB744B" w:rsidRPr="00BB744B" w:rsidRDefault="00BB744B" w:rsidP="00BB744B">
      <w:pPr>
        <w:spacing w:before="129" w:after="0" w:line="264" w:lineRule="auto"/>
        <w:ind w:firstLine="321"/>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ÜÇÜNCÜ BÖLÜM</w:t>
      </w:r>
    </w:p>
    <w:p w:rsidR="00BB744B" w:rsidRPr="00BB744B" w:rsidRDefault="00BB744B" w:rsidP="00BB744B">
      <w:pPr>
        <w:spacing w:after="0" w:line="264" w:lineRule="auto"/>
        <w:ind w:firstLine="321"/>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Yürürlük ve Yürütme</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Yürürlükten Kaldırılan Yönetmelik</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14 —</w:t>
      </w:r>
      <w:r w:rsidRPr="00BB744B">
        <w:rPr>
          <w:rFonts w:ascii="Times New Roman" w:eastAsia="Times New Roman" w:hAnsi="Times New Roman" w:cs="Times New Roman"/>
          <w:kern w:val="0"/>
          <w:sz w:val="20"/>
          <w:szCs w:val="20"/>
          <w:lang w:eastAsia="tr-TR"/>
        </w:rPr>
        <w:t>21/12/1983 tarihli ve 18258 sayılı Resmî Gazete’de yayımlanan Yüzdelerden Toplanan Paraların İşçilere Dağıtılması Hakkında Yönetmelik yürürlükten kaldırılmıştır.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Yürürlük</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15 —</w:t>
      </w:r>
      <w:r w:rsidRPr="00BB744B">
        <w:rPr>
          <w:rFonts w:ascii="Times New Roman" w:eastAsia="Times New Roman" w:hAnsi="Times New Roman" w:cs="Times New Roman"/>
          <w:kern w:val="0"/>
          <w:sz w:val="20"/>
          <w:szCs w:val="20"/>
          <w:lang w:eastAsia="tr-TR"/>
        </w:rPr>
        <w:t xml:space="preserve"> Bu Yönetmelik yayımı tarihinde yürürlüğe girer.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Yürütme</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lang w:eastAsia="tr-TR"/>
        </w:rPr>
        <w:t>Madde 16 —</w:t>
      </w:r>
      <w:r w:rsidRPr="00BB744B">
        <w:rPr>
          <w:rFonts w:ascii="Times New Roman" w:eastAsia="Times New Roman" w:hAnsi="Times New Roman" w:cs="Times New Roman"/>
          <w:kern w:val="0"/>
          <w:sz w:val="20"/>
          <w:szCs w:val="20"/>
          <w:lang w:eastAsia="tr-TR"/>
        </w:rPr>
        <w:t xml:space="preserve"> Bu Yönetmelik hükümlerini Çalışma ve Sosyal Güvenlik Bakanı yürütür.</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lastRenderedPageBreak/>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15"/>
          <w:lang w:eastAsia="tr-TR"/>
        </w:rPr>
        <w:t> </w:t>
      </w:r>
    </w:p>
    <w:p w:rsidR="00BB744B" w:rsidRPr="00BB744B" w:rsidRDefault="00BB744B" w:rsidP="00BB744B">
      <w:pPr>
        <w:spacing w:after="0" w:line="264" w:lineRule="auto"/>
        <w:ind w:firstLine="321"/>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4"/>
          <w:lang w:eastAsia="tr-TR"/>
        </w:rPr>
        <w:t>PUAN CETVELİ</w:t>
      </w:r>
    </w:p>
    <w:p w:rsidR="00BB744B" w:rsidRPr="00BB744B" w:rsidRDefault="00BB744B" w:rsidP="00BB744B">
      <w:pPr>
        <w:spacing w:after="0" w:line="264" w:lineRule="auto"/>
        <w:ind w:firstLine="321"/>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4"/>
          <w:lang w:eastAsia="tr-TR"/>
        </w:rPr>
        <w:t> </w:t>
      </w:r>
    </w:p>
    <w:tbl>
      <w:tblPr>
        <w:tblW w:w="10004" w:type="dxa"/>
        <w:tblCellSpacing w:w="0" w:type="dxa"/>
        <w:tblCellMar>
          <w:left w:w="0" w:type="dxa"/>
          <w:right w:w="0" w:type="dxa"/>
        </w:tblCellMar>
        <w:tblLook w:val="04A0"/>
      </w:tblPr>
      <w:tblGrid>
        <w:gridCol w:w="1903"/>
        <w:gridCol w:w="1016"/>
        <w:gridCol w:w="3521"/>
        <w:gridCol w:w="1460"/>
        <w:gridCol w:w="2104"/>
      </w:tblGrid>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u w:val="single"/>
                <w:lang w:eastAsia="tr-TR"/>
              </w:rPr>
              <w:t>Gurup</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u w:val="single"/>
                <w:lang w:eastAsia="tr-TR"/>
              </w:rPr>
              <w:t>Yapılan İşler-Görev Ünvanları</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u w:val="single"/>
                <w:lang w:eastAsia="tr-TR"/>
              </w:rPr>
              <w:t>Alt Sınır Puanı</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b/>
                <w:bCs/>
                <w:kern w:val="0"/>
                <w:sz w:val="20"/>
                <w:szCs w:val="20"/>
                <w:u w:val="single"/>
                <w:lang w:eastAsia="tr-TR"/>
              </w:rPr>
              <w:t>Üst Sınır Puanı</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Başaşçı, MaitreD’Hotel,</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Resepsiyon Şefi.</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26</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30</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II</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Başaşçı Yrd.,MaitreD’Hotel Yrd.,</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Resepsiyon Şef Yrd., Bölüm Şefleri,</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Ön Kasa Şefi.</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22</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26</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III</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Bölüm Şef Yardımcıları, Çamaşırhane</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Şefi, Resepsiyon ve Rezervasyon</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Memurları, Aşçı, Şef Kasiyer,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Kaptan, Ön Kasiyer, Garson, Barmen,</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Vale Fammet D. Chambr, Pastacı,</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Tatlıcı, Soğukçu, Dönerci,</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BellCaptain, Güvenlik Şefi, Kontrolör,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1. Sınıf Teknik Elemanlar, Baş Şoför,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Baş Terzi, Gece Teknisyeni</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ve benzerlerinin yaptıkları işler.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18</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22</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IV</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Bölüm Memurları, Kasiyer,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Güvenlik Görevlisi, Kapıcılar,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Kat ve Oda Temizlikçileri, Büfeci,</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Aşçı Yrd., Garson Yrd., Fırıncı,</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Sosyer, Kasap, 1. Sınıf Bulaşıkçı,</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Kahveci ve Ekmekçi, Şef Silici,</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Kapıcı Bellboy, Bellboy,</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Hemşire, Santral Memuru, Puantör,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Kuru Temizleme ve Çamaşırhane</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usta ve işçileri, Terziler, Şef Komi,</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2. Sınıf Teknik Elemanlar, Şoförler,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Baş Bahçevan, Sauna, Nezaretçi,</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Havuz ve spor sahası sorumluları ve</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benzerlerinin yaptıkları işler.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14</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18</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V</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Meydancı, Bagajcı, Haberci, Bulaşıkçı,</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Komi, Bekçi, Bahçevan, İşletme</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50"/>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işçileri, Silici, Stajyerler ve benzerlerinin</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1016"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 </w:t>
            </w:r>
          </w:p>
        </w:tc>
        <w:tc>
          <w:tcPr>
            <w:tcW w:w="3521"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yaptıkları işler.</w:t>
            </w:r>
          </w:p>
        </w:tc>
        <w:tc>
          <w:tcPr>
            <w:tcW w:w="1460"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10</w:t>
            </w:r>
          </w:p>
        </w:tc>
        <w:tc>
          <w:tcPr>
            <w:tcW w:w="2104" w:type="dxa"/>
            <w:tcBorders>
              <w:top w:val="nil"/>
              <w:left w:val="nil"/>
              <w:bottom w:val="nil"/>
              <w:right w:val="nil"/>
            </w:tcBorders>
            <w:shd w:val="clear" w:color="auto" w:fill="auto"/>
            <w:tcMar>
              <w:top w:w="15" w:type="dxa"/>
              <w:left w:w="15" w:type="dxa"/>
              <w:bottom w:w="15" w:type="dxa"/>
              <w:right w:w="15" w:type="dxa"/>
            </w:tcMar>
            <w:hideMark/>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0"/>
                <w:lang w:eastAsia="tr-TR"/>
              </w:rPr>
              <w:t>14</w:t>
            </w:r>
          </w:p>
        </w:tc>
      </w:tr>
      <w:tr w:rsidR="00BB744B" w:rsidRPr="00BB744B" w:rsidTr="00BB744B">
        <w:trPr>
          <w:trHeight w:val="234"/>
          <w:tblCellSpacing w:w="0" w:type="dxa"/>
        </w:trPr>
        <w:tc>
          <w:tcPr>
            <w:tcW w:w="1903" w:type="dxa"/>
            <w:tcBorders>
              <w:top w:val="nil"/>
              <w:left w:val="nil"/>
              <w:bottom w:val="nil"/>
              <w:right w:val="nil"/>
            </w:tcBorders>
            <w:shd w:val="clear" w:color="auto" w:fill="auto"/>
            <w:tcMar>
              <w:top w:w="15" w:type="dxa"/>
              <w:left w:w="15" w:type="dxa"/>
              <w:bottom w:w="15" w:type="dxa"/>
              <w:right w:w="15" w:type="dxa"/>
            </w:tcMar>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0"/>
                <w:szCs w:val="20"/>
                <w:lang w:eastAsia="tr-TR"/>
              </w:rPr>
            </w:pPr>
          </w:p>
        </w:tc>
        <w:tc>
          <w:tcPr>
            <w:tcW w:w="1016" w:type="dxa"/>
            <w:tcBorders>
              <w:top w:val="nil"/>
              <w:left w:val="nil"/>
              <w:bottom w:val="nil"/>
              <w:right w:val="nil"/>
            </w:tcBorders>
            <w:shd w:val="clear" w:color="auto" w:fill="auto"/>
            <w:tcMar>
              <w:top w:w="15" w:type="dxa"/>
              <w:left w:w="15" w:type="dxa"/>
              <w:bottom w:w="15" w:type="dxa"/>
              <w:right w:w="15" w:type="dxa"/>
            </w:tcMar>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0"/>
                <w:szCs w:val="20"/>
                <w:lang w:eastAsia="tr-TR"/>
              </w:rPr>
            </w:pPr>
          </w:p>
        </w:tc>
        <w:tc>
          <w:tcPr>
            <w:tcW w:w="3521" w:type="dxa"/>
            <w:tcBorders>
              <w:top w:val="nil"/>
              <w:left w:val="nil"/>
              <w:bottom w:val="nil"/>
              <w:right w:val="nil"/>
            </w:tcBorders>
            <w:shd w:val="clear" w:color="auto" w:fill="auto"/>
            <w:tcMar>
              <w:top w:w="15" w:type="dxa"/>
              <w:left w:w="15" w:type="dxa"/>
              <w:bottom w:w="15" w:type="dxa"/>
              <w:right w:w="15" w:type="dxa"/>
            </w:tcMar>
          </w:tcPr>
          <w:p w:rsidR="00BB744B" w:rsidRPr="00BB744B" w:rsidRDefault="00BB744B" w:rsidP="00BB744B">
            <w:pPr>
              <w:spacing w:before="100" w:beforeAutospacing="1" w:after="100" w:afterAutospacing="1" w:line="240" w:lineRule="auto"/>
              <w:rPr>
                <w:rFonts w:ascii="Times New Roman" w:eastAsia="Times New Roman" w:hAnsi="Times New Roman" w:cs="Times New Roman"/>
                <w:kern w:val="0"/>
                <w:sz w:val="20"/>
                <w:szCs w:val="20"/>
                <w:lang w:eastAsia="tr-TR"/>
              </w:rPr>
            </w:pPr>
          </w:p>
        </w:tc>
        <w:tc>
          <w:tcPr>
            <w:tcW w:w="1460" w:type="dxa"/>
            <w:tcBorders>
              <w:top w:val="nil"/>
              <w:left w:val="nil"/>
              <w:bottom w:val="nil"/>
              <w:right w:val="nil"/>
            </w:tcBorders>
            <w:shd w:val="clear" w:color="auto" w:fill="auto"/>
            <w:tcMar>
              <w:top w:w="15" w:type="dxa"/>
              <w:left w:w="15" w:type="dxa"/>
              <w:bottom w:w="15" w:type="dxa"/>
              <w:right w:w="15" w:type="dxa"/>
            </w:tcMar>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0"/>
                <w:szCs w:val="20"/>
                <w:lang w:eastAsia="tr-TR"/>
              </w:rPr>
            </w:pPr>
          </w:p>
        </w:tc>
        <w:tc>
          <w:tcPr>
            <w:tcW w:w="2104" w:type="dxa"/>
            <w:tcBorders>
              <w:top w:val="nil"/>
              <w:left w:val="nil"/>
              <w:bottom w:val="nil"/>
              <w:right w:val="nil"/>
            </w:tcBorders>
            <w:shd w:val="clear" w:color="auto" w:fill="auto"/>
            <w:tcMar>
              <w:top w:w="15" w:type="dxa"/>
              <w:left w:w="15" w:type="dxa"/>
              <w:bottom w:w="15" w:type="dxa"/>
              <w:right w:w="15" w:type="dxa"/>
            </w:tcMar>
          </w:tcPr>
          <w:p w:rsidR="00BB744B" w:rsidRPr="00BB744B" w:rsidRDefault="00BB744B" w:rsidP="00BB744B">
            <w:pPr>
              <w:spacing w:before="100" w:beforeAutospacing="1" w:after="100" w:afterAutospacing="1" w:line="240" w:lineRule="auto"/>
              <w:jc w:val="center"/>
              <w:rPr>
                <w:rFonts w:ascii="Times New Roman" w:eastAsia="Times New Roman" w:hAnsi="Times New Roman" w:cs="Times New Roman"/>
                <w:kern w:val="0"/>
                <w:sz w:val="20"/>
                <w:szCs w:val="20"/>
                <w:lang w:eastAsia="tr-TR"/>
              </w:rPr>
            </w:pPr>
          </w:p>
        </w:tc>
      </w:tr>
    </w:tbl>
    <w:p w:rsidR="00BB744B" w:rsidRPr="00BB744B" w:rsidRDefault="00BB744B" w:rsidP="00BB744B">
      <w:pPr>
        <w:spacing w:after="0" w:line="264" w:lineRule="auto"/>
        <w:rPr>
          <w:rFonts w:ascii="Times New Roman" w:eastAsia="Times New Roman" w:hAnsi="Times New Roman" w:cs="Times New Roman"/>
          <w:kern w:val="0"/>
          <w:sz w:val="24"/>
          <w:szCs w:val="24"/>
          <w:lang w:eastAsia="tr-TR"/>
        </w:rPr>
      </w:pPr>
      <w:r w:rsidRPr="00BB744B">
        <w:rPr>
          <w:rFonts w:ascii="Times New Roman" w:eastAsia="Times New Roman" w:hAnsi="Times New Roman" w:cs="Times New Roman"/>
          <w:kern w:val="0"/>
          <w:sz w:val="20"/>
          <w:szCs w:val="24"/>
          <w:lang w:eastAsia="tr-TR"/>
        </w:rPr>
        <w:t> </w:t>
      </w:r>
    </w:p>
    <w:p w:rsidR="002828C6" w:rsidRDefault="002828C6"/>
    <w:sectPr w:rsidR="002828C6" w:rsidSect="00A05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23EF"/>
    <w:rsid w:val="002828C6"/>
    <w:rsid w:val="004623EF"/>
    <w:rsid w:val="00A05741"/>
    <w:rsid w:val="00BB744B"/>
    <w:rsid w:val="00E13B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B744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849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2012-11-17T18:12:00Z</dcterms:created>
  <dcterms:modified xsi:type="dcterms:W3CDTF">2014-12-26T15:06:00Z</dcterms:modified>
</cp:coreProperties>
</file>